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77193"/>
      <w:bookmarkStart w:id="3" w:name="_Toc15396475"/>
      <w:bookmarkStart w:id="4" w:name="_Toc15396597"/>
      <w:bookmarkStart w:id="5" w:name="_Toc15377425"/>
      <w:r>
        <w:rPr>
          <w:rFonts w:ascii="黑体" w:hAnsi="黑体" w:eastAsia="黑体"/>
          <w:color w:val="000000"/>
          <w:sz w:val="72"/>
          <w:szCs w:val="72"/>
        </w:rPr>
        <w:t>20</w:t>
      </w:r>
      <w:r>
        <w:rPr>
          <w:rFonts w:hint="eastAsia" w:ascii="黑体" w:hAnsi="黑体" w:eastAsia="黑体"/>
          <w:color w:val="000000"/>
          <w:sz w:val="72"/>
          <w:szCs w:val="72"/>
        </w:rPr>
        <w:t>20</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426"/>
      <w:bookmarkStart w:id="7" w:name="_Toc15377194"/>
      <w:bookmarkStart w:id="8" w:name="_Toc15378442"/>
      <w:bookmarkStart w:id="9" w:name="_Toc15396598"/>
      <w:bookmarkStart w:id="10" w:name="_Toc1539647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青少年新媒体中心单位决算</w:t>
      </w:r>
      <w:bookmarkEnd w:id="6"/>
      <w:bookmarkEnd w:id="7"/>
      <w:bookmarkEnd w:id="8"/>
      <w:bookmarkEnd w:id="9"/>
      <w:bookmarkEnd w:id="10"/>
      <w:bookmarkEnd w:id="11"/>
    </w:p>
    <w:p>
      <w:pPr>
        <w:widowControl/>
        <w:jc w:val="center"/>
        <w:rPr>
          <w:rFonts w:hint="eastAsia" w:ascii="方正小标宋简体" w:hAnsi="宋体" w:eastAsia="方正小标宋简体"/>
          <w:color w:val="000000"/>
          <w:sz w:val="36"/>
          <w:szCs w:val="36"/>
        </w:rPr>
      </w:pPr>
      <w:r>
        <w:rPr>
          <w:rFonts w:ascii="方正小标宋简体" w:hAnsi="宋体" w:eastAsia="方正小标宋简体"/>
          <w:color w:val="000000"/>
          <w:sz w:val="36"/>
          <w:szCs w:val="36"/>
        </w:rPr>
        <w:br w:type="page"/>
      </w:r>
    </w:p>
    <w:p>
      <w:pPr>
        <w:widowControl/>
        <w:jc w:val="center"/>
        <w:rPr>
          <w:rFonts w:hint="eastAsia" w:ascii="方正小标宋简体" w:hAnsi="宋体" w:eastAsia="方正小标宋简体"/>
          <w:color w:val="000000"/>
          <w:sz w:val="36"/>
          <w:szCs w:val="36"/>
        </w:rPr>
      </w:pPr>
    </w:p>
    <w:p>
      <w:pPr>
        <w:widowControl/>
        <w:jc w:val="center"/>
        <w:rPr>
          <w:rFonts w:ascii="黑体" w:hAnsi="黑体" w:eastAsia="黑体"/>
          <w:color w:val="000000"/>
          <w:sz w:val="48"/>
          <w:szCs w:val="48"/>
        </w:rPr>
      </w:pPr>
      <w:r>
        <w:rPr>
          <w:rFonts w:hint="eastAsia" w:ascii="黑体" w:hAnsi="黑体" w:eastAsia="黑体"/>
          <w:color w:val="000000"/>
          <w:sz w:val="48"/>
          <w:szCs w:val="48"/>
        </w:rPr>
        <w:t>目  录</w:t>
      </w:r>
    </w:p>
    <w:p>
      <w:pPr>
        <w:pStyle w:val="10"/>
      </w:pPr>
      <w:r>
        <w:rPr>
          <w:rFonts w:hint="eastAsia"/>
        </w:rPr>
        <w:t>公开时间：2021年9月10日</w:t>
      </w:r>
    </w:p>
    <w:p/>
    <w:p>
      <w:pPr>
        <w:pStyle w:val="10"/>
        <w:adjustRightInd w:val="0"/>
        <w:snapToGrid w:val="0"/>
        <w:spacing w:before="0" w:line="440" w:lineRule="exact"/>
        <w:jc w:val="left"/>
        <w:rPr>
          <w:rFonts w:ascii="黑体" w:hAnsi="黑体" w:eastAsia="黑体" w:cstheme="minorBidi"/>
        </w:rPr>
      </w:pPr>
      <w:r>
        <w:rPr>
          <w:rFonts w:hint="eastAsia" w:ascii="黑体" w:hAnsi="黑体" w:eastAsia="黑体"/>
        </w:rPr>
        <w:t>第一部分</w:t>
      </w:r>
      <w:r>
        <w:rPr>
          <w:rFonts w:ascii="黑体" w:hAnsi="黑体" w:eastAsia="黑体"/>
        </w:rPr>
        <w:t xml:space="preserve"> </w:t>
      </w:r>
      <w:r>
        <w:rPr>
          <w:rFonts w:hint="eastAsia" w:ascii="黑体" w:hAnsi="黑体" w:eastAsia="黑体"/>
        </w:rPr>
        <w:t>单位概况</w:t>
      </w:r>
    </w:p>
    <w:p>
      <w:pPr>
        <w:pStyle w:val="11"/>
        <w:adjustRightInd w:val="0"/>
        <w:snapToGrid w:val="0"/>
        <w:spacing w:line="440" w:lineRule="exact"/>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一、职能简介……………………………………………………………………1</w:t>
      </w:r>
    </w:p>
    <w:p>
      <w:pPr>
        <w:pStyle w:val="11"/>
        <w:adjustRightInd w:val="0"/>
        <w:snapToGrid w:val="0"/>
        <w:spacing w:line="440" w:lineRule="exact"/>
        <w:jc w:val="left"/>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二、2020年重点工作完成情况…………………………………………………1</w:t>
      </w:r>
    </w:p>
    <w:p>
      <w:pPr>
        <w:pStyle w:val="11"/>
        <w:adjustRightInd w:val="0"/>
        <w:snapToGrid w:val="0"/>
        <w:spacing w:line="440" w:lineRule="exact"/>
        <w:jc w:val="left"/>
        <w:rPr>
          <w:rFonts w:hint="eastAsia" w:eastAsia="宋体"/>
          <w:lang w:val="en-US" w:eastAsia="zh-CN"/>
        </w:rPr>
      </w:pPr>
      <w:r>
        <w:rPr>
          <w:rFonts w:hint="eastAsia"/>
          <w:color w:val="000000" w:themeColor="text1"/>
          <w:sz w:val="24"/>
          <w:lang w:val="en-US" w:eastAsia="zh-CN"/>
          <w14:textFill>
            <w14:solidFill>
              <w14:schemeClr w14:val="tx1"/>
            </w14:solidFill>
          </w14:textFill>
        </w:rPr>
        <w:t>三、机构设置情况</w:t>
      </w: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2</w:t>
      </w:r>
    </w:p>
    <w:p>
      <w:pPr>
        <w:pStyle w:val="10"/>
        <w:adjustRightInd w:val="0"/>
        <w:snapToGrid w:val="0"/>
        <w:spacing w:before="0" w:line="440" w:lineRule="exact"/>
        <w:jc w:val="left"/>
        <w:rPr>
          <w:rFonts w:ascii="黑体" w:hAnsi="黑体" w:eastAsia="黑体"/>
        </w:rPr>
      </w:pPr>
      <w:r>
        <w:rPr>
          <w:rFonts w:hint="eastAsia" w:ascii="黑体" w:hAnsi="黑体" w:eastAsia="黑体"/>
        </w:rPr>
        <w:t>第二部分 2020年度单位决算情况说明</w:t>
      </w:r>
      <w:bookmarkStart w:id="67" w:name="_GoBack"/>
      <w:bookmarkEnd w:id="67"/>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一、收入支出决算总体情况说明………………………………………………2</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二、收入决算情况说明…………………………………………………………2</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三、支出决算情况说明…………………………………………………………3</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四、财政拨款收入支出决算总体情况说明……………………………………4</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五、一般公共预算财政拨款支出决算情况说明………………………………4</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六、一般公共预算财政拨款基本支出决算情况说明…………………………6</w:t>
      </w:r>
    </w:p>
    <w:p>
      <w:pPr>
        <w:pStyle w:val="11"/>
        <w:adjustRightInd w:val="0"/>
        <w:snapToGrid w:val="0"/>
        <w:spacing w:line="440" w:lineRule="exact"/>
        <w:jc w:val="left"/>
        <w:rPr>
          <w:rFonts w:ascii="仿宋" w:hAnsi="仿宋" w:eastAsia="仿宋" w:cstheme="minorBidi"/>
          <w:sz w:val="24"/>
        </w:rPr>
      </w:pPr>
      <w:r>
        <w:rPr>
          <w:rFonts w:hint="eastAsia"/>
          <w:sz w:val="24"/>
        </w:rPr>
        <w:t>七、</w:t>
      </w:r>
      <w:r>
        <w:rPr>
          <w:sz w:val="24"/>
        </w:rPr>
        <w:t>“</w:t>
      </w:r>
      <w:r>
        <w:rPr>
          <w:rFonts w:hint="eastAsia"/>
          <w:sz w:val="24"/>
        </w:rPr>
        <w:t>三公”经费财政拨款支出决算情况说明…………………………………6</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八、政府性基金预算支出决算情况说明………………………………………7</w:t>
      </w:r>
    </w:p>
    <w:p>
      <w:pPr>
        <w:pStyle w:val="11"/>
        <w:adjustRightInd w:val="0"/>
        <w:snapToGrid w:val="0"/>
        <w:spacing w:line="440" w:lineRule="exact"/>
        <w:jc w:val="left"/>
        <w:rPr>
          <w:sz w:val="24"/>
        </w:rPr>
      </w:pPr>
      <w:r>
        <w:rPr>
          <w:rFonts w:hint="eastAsia"/>
          <w:sz w:val="24"/>
        </w:rPr>
        <w:t>九、国有资本经营预算支出决算情况说明……………………………………7</w:t>
      </w:r>
    </w:p>
    <w:p>
      <w:pPr>
        <w:pStyle w:val="11"/>
        <w:adjustRightInd w:val="0"/>
        <w:snapToGrid w:val="0"/>
        <w:spacing w:line="440" w:lineRule="exact"/>
        <w:jc w:val="left"/>
        <w:rPr>
          <w:sz w:val="24"/>
        </w:rPr>
      </w:pPr>
      <w:r>
        <w:rPr>
          <w:rFonts w:hint="eastAsia"/>
          <w:sz w:val="24"/>
        </w:rPr>
        <w:t>十、其他重要事项的情况说明…………………………………………………7</w:t>
      </w:r>
    </w:p>
    <w:p>
      <w:pPr>
        <w:pStyle w:val="10"/>
        <w:adjustRightInd w:val="0"/>
        <w:snapToGrid w:val="0"/>
        <w:spacing w:before="0" w:line="440" w:lineRule="exact"/>
        <w:jc w:val="left"/>
        <w:rPr>
          <w:rFonts w:ascii="Times New Roman" w:hAnsi="Times New Roman" w:eastAsia="宋体"/>
          <w:color w:val="000000" w:themeColor="text1"/>
          <w:sz w:val="24"/>
          <w:szCs w:val="24"/>
          <w14:textFill>
            <w14:solidFill>
              <w14:schemeClr w14:val="tx1"/>
            </w14:solidFill>
          </w14:textFill>
        </w:rPr>
      </w:pPr>
      <w:r>
        <w:rPr>
          <w:rFonts w:hint="eastAsia" w:ascii="黑体" w:hAnsi="黑体" w:eastAsia="黑体"/>
        </w:rPr>
        <w:t>第三部分</w:t>
      </w:r>
      <w:r>
        <w:rPr>
          <w:rFonts w:ascii="黑体" w:hAnsi="黑体" w:eastAsia="黑体"/>
        </w:rPr>
        <w:t xml:space="preserve"> </w:t>
      </w:r>
      <w:r>
        <w:rPr>
          <w:rFonts w:hint="eastAsia" w:ascii="黑体" w:hAnsi="黑体" w:eastAsia="黑体"/>
        </w:rPr>
        <w:t>名词解释</w:t>
      </w:r>
      <w:r>
        <w:rPr>
          <w:rFonts w:hint="eastAsia" w:ascii="Times New Roman" w:hAnsi="Times New Roman" w:eastAsia="宋体"/>
          <w:color w:val="000000" w:themeColor="text1"/>
          <w:sz w:val="24"/>
          <w:szCs w:val="24"/>
          <w14:textFill>
            <w14:solidFill>
              <w14:schemeClr w14:val="tx1"/>
            </w14:solidFill>
          </w14:textFill>
        </w:rPr>
        <w:t>………………………………………………………………9</w:t>
      </w:r>
    </w:p>
    <w:p>
      <w:pPr>
        <w:pStyle w:val="10"/>
        <w:adjustRightInd w:val="0"/>
        <w:snapToGrid w:val="0"/>
        <w:spacing w:before="0" w:line="440" w:lineRule="exact"/>
        <w:jc w:val="left"/>
        <w:rPr>
          <w:rFonts w:ascii="Times New Roman" w:hAnsi="Times New Roman" w:eastAsia="宋体"/>
          <w:color w:val="000000" w:themeColor="text1"/>
          <w:sz w:val="24"/>
          <w:szCs w:val="24"/>
          <w14:textFill>
            <w14:solidFill>
              <w14:schemeClr w14:val="tx1"/>
            </w14:solidFill>
          </w14:textFill>
        </w:rPr>
      </w:pPr>
      <w:r>
        <w:rPr>
          <w:rFonts w:hint="eastAsia" w:ascii="黑体" w:hAnsi="黑体" w:eastAsia="黑体"/>
        </w:rPr>
        <w:t>第四部分</w:t>
      </w:r>
      <w:r>
        <w:rPr>
          <w:rFonts w:ascii="黑体" w:hAnsi="黑体" w:eastAsia="黑体"/>
        </w:rPr>
        <w:t xml:space="preserve"> </w:t>
      </w:r>
      <w:r>
        <w:rPr>
          <w:rFonts w:hint="eastAsia" w:ascii="黑体" w:hAnsi="黑体" w:eastAsia="黑体"/>
        </w:rPr>
        <w:t>附件</w:t>
      </w:r>
      <w:r>
        <w:rPr>
          <w:rFonts w:hint="eastAsia" w:ascii="Times New Roman" w:hAnsi="Times New Roman" w:eastAsia="宋体"/>
          <w:color w:val="000000" w:themeColor="text1"/>
          <w:sz w:val="24"/>
          <w:szCs w:val="24"/>
          <w14:textFill>
            <w14:solidFill>
              <w14:schemeClr w14:val="tx1"/>
            </w14:solidFill>
          </w14:textFill>
        </w:rPr>
        <w:t>……………………………………………………………………12</w:t>
      </w:r>
    </w:p>
    <w:p>
      <w:pPr>
        <w:pStyle w:val="10"/>
        <w:adjustRightInd w:val="0"/>
        <w:snapToGrid w:val="0"/>
        <w:spacing w:before="0" w:line="440" w:lineRule="exact"/>
        <w:jc w:val="left"/>
        <w:rPr>
          <w:rFonts w:ascii="Times New Roman" w:hAnsi="Times New Roman" w:eastAsia="宋体"/>
          <w:color w:val="000000" w:themeColor="text1"/>
          <w:sz w:val="24"/>
          <w:szCs w:val="24"/>
          <w14:textFill>
            <w14:solidFill>
              <w14:schemeClr w14:val="tx1"/>
            </w14:solidFill>
          </w14:textFill>
        </w:rPr>
      </w:pPr>
      <w:r>
        <w:rPr>
          <w:rFonts w:hint="eastAsia" w:ascii="黑体" w:hAnsi="黑体" w:eastAsia="黑体"/>
        </w:rPr>
        <w:t>第五部分</w:t>
      </w:r>
      <w:r>
        <w:rPr>
          <w:rFonts w:ascii="黑体" w:hAnsi="黑体" w:eastAsia="黑体"/>
        </w:rPr>
        <w:t xml:space="preserve"> </w:t>
      </w:r>
      <w:r>
        <w:rPr>
          <w:rFonts w:hint="eastAsia" w:ascii="黑体" w:hAnsi="黑体" w:eastAsia="黑体"/>
        </w:rPr>
        <w:t>附表</w:t>
      </w:r>
      <w:r>
        <w:rPr>
          <w:rFonts w:hint="eastAsia" w:ascii="Times New Roman" w:hAnsi="Times New Roman" w:eastAsia="宋体"/>
          <w:color w:val="000000" w:themeColor="text1"/>
          <w:sz w:val="24"/>
          <w:szCs w:val="24"/>
          <w14:textFill>
            <w14:solidFill>
              <w14:schemeClr w14:val="tx1"/>
            </w14:solidFill>
          </w14:textFill>
        </w:rPr>
        <w:t>……………………………………………………………………15</w:t>
      </w:r>
    </w:p>
    <w:p>
      <w:pPr>
        <w:pStyle w:val="11"/>
        <w:adjustRightInd w:val="0"/>
        <w:snapToGrid w:val="0"/>
        <w:spacing w:line="440" w:lineRule="exact"/>
        <w:jc w:val="left"/>
        <w:rPr>
          <w:sz w:val="24"/>
        </w:rPr>
      </w:pPr>
      <w:r>
        <w:rPr>
          <w:rFonts w:hint="eastAsia"/>
          <w:sz w:val="24"/>
        </w:rPr>
        <w:t>一、收入支出决算总表</w:t>
      </w:r>
    </w:p>
    <w:p>
      <w:pPr>
        <w:pStyle w:val="11"/>
        <w:adjustRightInd w:val="0"/>
        <w:snapToGrid w:val="0"/>
        <w:spacing w:line="440" w:lineRule="exact"/>
        <w:jc w:val="left"/>
        <w:rPr>
          <w:sz w:val="24"/>
        </w:rPr>
      </w:pPr>
      <w:r>
        <w:rPr>
          <w:rFonts w:hint="eastAsia"/>
          <w:sz w:val="24"/>
        </w:rPr>
        <w:t>二、收入决算表</w:t>
      </w:r>
    </w:p>
    <w:p>
      <w:pPr>
        <w:pStyle w:val="11"/>
        <w:adjustRightInd w:val="0"/>
        <w:snapToGrid w:val="0"/>
        <w:spacing w:line="440" w:lineRule="exact"/>
        <w:jc w:val="left"/>
        <w:rPr>
          <w:sz w:val="24"/>
        </w:rPr>
      </w:pPr>
      <w:r>
        <w:rPr>
          <w:rFonts w:hint="eastAsia"/>
          <w:sz w:val="24"/>
        </w:rPr>
        <w:t>三、支出决算表</w:t>
      </w:r>
    </w:p>
    <w:p>
      <w:pPr>
        <w:pStyle w:val="11"/>
        <w:adjustRightInd w:val="0"/>
        <w:snapToGrid w:val="0"/>
        <w:spacing w:line="440" w:lineRule="exact"/>
        <w:jc w:val="left"/>
        <w:rPr>
          <w:sz w:val="24"/>
        </w:rPr>
      </w:pPr>
      <w:r>
        <w:rPr>
          <w:rFonts w:hint="eastAsia"/>
          <w:sz w:val="24"/>
        </w:rPr>
        <w:t>四、财政拨款收入支出决算总表</w:t>
      </w:r>
    </w:p>
    <w:p>
      <w:pPr>
        <w:pStyle w:val="11"/>
        <w:adjustRightInd w:val="0"/>
        <w:snapToGrid w:val="0"/>
        <w:spacing w:line="440" w:lineRule="exact"/>
        <w:jc w:val="left"/>
        <w:rPr>
          <w:sz w:val="24"/>
        </w:rPr>
      </w:pPr>
      <w:r>
        <w:rPr>
          <w:rFonts w:hint="eastAsia"/>
          <w:sz w:val="24"/>
        </w:rPr>
        <w:t>五、财政拨款支出决算明细表</w:t>
      </w:r>
    </w:p>
    <w:p>
      <w:pPr>
        <w:pStyle w:val="11"/>
        <w:adjustRightInd w:val="0"/>
        <w:snapToGrid w:val="0"/>
        <w:spacing w:line="440" w:lineRule="exact"/>
        <w:jc w:val="left"/>
        <w:rPr>
          <w:sz w:val="24"/>
        </w:rPr>
      </w:pPr>
      <w:r>
        <w:rPr>
          <w:rFonts w:hint="eastAsia"/>
          <w:sz w:val="24"/>
        </w:rPr>
        <w:t>六、一般公共预算财政拨款支出决算表</w:t>
      </w:r>
    </w:p>
    <w:p>
      <w:pPr>
        <w:pStyle w:val="11"/>
        <w:adjustRightInd w:val="0"/>
        <w:snapToGrid w:val="0"/>
        <w:spacing w:line="440" w:lineRule="exact"/>
        <w:jc w:val="left"/>
        <w:rPr>
          <w:sz w:val="24"/>
        </w:rPr>
      </w:pPr>
      <w:r>
        <w:rPr>
          <w:rFonts w:hint="eastAsia"/>
          <w:sz w:val="24"/>
        </w:rPr>
        <w:t>七、一般公共预算财政拨款支出决算明细表</w:t>
      </w:r>
    </w:p>
    <w:p>
      <w:pPr>
        <w:pStyle w:val="11"/>
        <w:adjustRightInd w:val="0"/>
        <w:snapToGrid w:val="0"/>
        <w:spacing w:line="440" w:lineRule="exact"/>
        <w:jc w:val="left"/>
        <w:rPr>
          <w:sz w:val="24"/>
        </w:rPr>
      </w:pPr>
      <w:r>
        <w:rPr>
          <w:rFonts w:hint="eastAsia"/>
          <w:sz w:val="24"/>
        </w:rPr>
        <w:t>八、一般公共预算财政拨款基本支出决算表</w:t>
      </w:r>
    </w:p>
    <w:p>
      <w:pPr>
        <w:pStyle w:val="11"/>
        <w:adjustRightInd w:val="0"/>
        <w:snapToGrid w:val="0"/>
        <w:spacing w:line="440" w:lineRule="exact"/>
        <w:jc w:val="left"/>
        <w:rPr>
          <w:sz w:val="24"/>
        </w:rPr>
      </w:pPr>
      <w:r>
        <w:rPr>
          <w:rFonts w:hint="eastAsia"/>
          <w:sz w:val="24"/>
        </w:rPr>
        <w:t>九、一般公共预算财政拨款项目支出决算表</w:t>
      </w:r>
    </w:p>
    <w:p>
      <w:pPr>
        <w:pStyle w:val="11"/>
        <w:adjustRightInd w:val="0"/>
        <w:snapToGrid w:val="0"/>
        <w:spacing w:line="440" w:lineRule="exact"/>
        <w:jc w:val="left"/>
        <w:rPr>
          <w:sz w:val="24"/>
        </w:rPr>
      </w:pPr>
      <w:r>
        <w:rPr>
          <w:rFonts w:hint="eastAsia"/>
          <w:sz w:val="24"/>
        </w:rPr>
        <w:t>十、一般公共预算财政拨款“三公”经费支出决算表</w:t>
      </w:r>
    </w:p>
    <w:p>
      <w:pPr>
        <w:pStyle w:val="11"/>
        <w:adjustRightInd w:val="0"/>
        <w:snapToGrid w:val="0"/>
        <w:spacing w:line="440" w:lineRule="exact"/>
        <w:jc w:val="left"/>
        <w:rPr>
          <w:sz w:val="24"/>
        </w:rPr>
      </w:pPr>
      <w:r>
        <w:rPr>
          <w:rFonts w:hint="eastAsia"/>
          <w:sz w:val="24"/>
        </w:rPr>
        <w:t>十一、政府性基金预算财政拨款收入支出决算表</w:t>
      </w:r>
    </w:p>
    <w:p>
      <w:pPr>
        <w:pStyle w:val="11"/>
        <w:adjustRightInd w:val="0"/>
        <w:snapToGrid w:val="0"/>
        <w:spacing w:line="440" w:lineRule="exact"/>
        <w:jc w:val="left"/>
        <w:rPr>
          <w:sz w:val="24"/>
        </w:rPr>
      </w:pPr>
      <w:r>
        <w:rPr>
          <w:rFonts w:hint="eastAsia"/>
          <w:sz w:val="24"/>
        </w:rPr>
        <w:t>十二、政府性基金预算财政拨款“三公”经费支出决算表</w:t>
      </w:r>
    </w:p>
    <w:p>
      <w:pPr>
        <w:pStyle w:val="11"/>
        <w:adjustRightInd w:val="0"/>
        <w:snapToGrid w:val="0"/>
        <w:spacing w:line="440" w:lineRule="exact"/>
        <w:jc w:val="left"/>
        <w:rPr>
          <w:sz w:val="24"/>
        </w:rPr>
      </w:pPr>
      <w:r>
        <w:rPr>
          <w:rFonts w:hint="eastAsia"/>
          <w:sz w:val="24"/>
        </w:rPr>
        <w:t>十三、国有资本经营预算财政拨款收入支出决算表</w:t>
      </w:r>
    </w:p>
    <w:p>
      <w:pPr>
        <w:pStyle w:val="11"/>
        <w:adjustRightInd w:val="0"/>
        <w:snapToGrid w:val="0"/>
        <w:spacing w:line="440" w:lineRule="exact"/>
        <w:jc w:val="left"/>
        <w:rPr>
          <w:rFonts w:hint="eastAsia"/>
          <w:sz w:val="24"/>
        </w:rPr>
      </w:pPr>
      <w:r>
        <w:rPr>
          <w:rFonts w:hint="eastAsia"/>
          <w:sz w:val="24"/>
        </w:rPr>
        <w:t>十四、国有资本经营预算财政拨款支出决算表</w:t>
      </w:r>
      <w:bookmarkStart w:id="12" w:name="_Toc15396599"/>
      <w:bookmarkStart w:id="13" w:name="_Toc15377196"/>
    </w:p>
    <w:p>
      <w:p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pStyle w:val="3"/>
        <w:ind w:right="440"/>
        <w:jc w:val="center"/>
        <w:rPr>
          <w:rFonts w:ascii="黑体" w:hAnsi="黑体" w:eastAsia="黑体"/>
          <w:b w:val="0"/>
        </w:rPr>
      </w:pPr>
      <w:r>
        <w:rPr>
          <w:rFonts w:hint="eastAsia" w:ascii="黑体" w:hAnsi="黑体" w:eastAsia="黑体"/>
          <w:b w:val="0"/>
        </w:rPr>
        <w:t>第一部分 单位概况</w:t>
      </w:r>
      <w:bookmarkEnd w:id="12"/>
      <w:bookmarkEnd w:id="13"/>
    </w:p>
    <w:p>
      <w:pPr>
        <w:pStyle w:val="23"/>
        <w:spacing w:line="600" w:lineRule="exact"/>
        <w:ind w:left="640" w:firstLine="0" w:firstLineChars="0"/>
        <w:outlineLvl w:val="1"/>
        <w:rPr>
          <w:rStyle w:val="25"/>
          <w:rFonts w:ascii="黑体" w:hAnsi="黑体" w:eastAsia="黑体"/>
          <w:b w:val="0"/>
        </w:rPr>
      </w:pPr>
      <w:bookmarkStart w:id="14" w:name="_Toc15396600"/>
      <w:bookmarkStart w:id="15" w:name="_Toc15377197"/>
      <w:r>
        <w:rPr>
          <w:rStyle w:val="25"/>
          <w:rFonts w:hint="eastAsia" w:ascii="黑体" w:hAnsi="黑体" w:eastAsia="黑体"/>
          <w:b w:val="0"/>
        </w:rPr>
        <w:t>一、职能简介</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四川省青少年新媒体中心是共青团四川省委下属的公益一类事业单位，主要承担四川青年网、青年之声等平台的运行维护，青少年网络文化产品和项目活动开发服务，共青团新媒体网络及队伍建设等工作，核定编制10人，现有在编人员5名。中心自成立以来，以“建立触手可及值得信赖的青年朋友圈”为工作主线，积极探索共青团+互联网的工作模式，全力打造新媒体“中央厨房”，积极开展网络斗争，不断加强网络管理，充分发挥团属新媒体在青年思想引领中的作用，带头弘扬网上主旋律，努力构建清朗网络空间。</w:t>
      </w:r>
    </w:p>
    <w:p>
      <w:pPr>
        <w:pStyle w:val="23"/>
        <w:spacing w:line="600" w:lineRule="exact"/>
        <w:ind w:left="640" w:firstLine="0" w:firstLineChars="0"/>
        <w:outlineLvl w:val="1"/>
        <w:rPr>
          <w:rStyle w:val="25"/>
          <w:rFonts w:ascii="黑体" w:hAnsi="黑体" w:eastAsia="黑体"/>
          <w:b w:val="0"/>
        </w:rPr>
      </w:pPr>
      <w:r>
        <w:rPr>
          <w:rStyle w:val="25"/>
          <w:rFonts w:hint="eastAsia" w:ascii="黑体" w:hAnsi="黑体" w:eastAsia="黑体"/>
          <w:b w:val="0"/>
        </w:rPr>
        <w:t>二、2020年重点工作</w:t>
      </w:r>
      <w:bookmarkEnd w:id="14"/>
      <w:bookmarkEnd w:id="15"/>
      <w:r>
        <w:rPr>
          <w:rStyle w:val="25"/>
          <w:rFonts w:hint="eastAsia" w:ascii="黑体" w:hAnsi="黑体" w:eastAsia="黑体"/>
          <w:b w:val="0"/>
        </w:rPr>
        <w:t>完成情况</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四川省青少年新媒体中心将坚定以习近平新时代中国特色社会主义思想为指导，深入学习贯彻习近平总书记关于青年工作的重要思想和团中央、省委的各项决策部署，加快构建“线上线下”共青团宣传工作格局，持续加强矩阵平台建设，全力打造团属新媒体“中央厨房”，积极推进 “青春汇”大数据融合平台（三期）建设，常态化做好团省委官网运维工作，狠抓舆情管控，带头弘扬网上主旋律，充分发挥团属新媒体在青年思想引领中的作用，团结引领广大团员青年为推动治蜀兴川再上新台阶贡献青春力量。</w:t>
      </w:r>
    </w:p>
    <w:p>
      <w:pPr>
        <w:pStyle w:val="2"/>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机构设置情况</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ascii="仿宋" w:hAnsi="仿宋" w:eastAsia="仿宋"/>
          <w:color w:val="000000"/>
          <w:kern w:val="0"/>
          <w:sz w:val="32"/>
          <w:szCs w:val="32"/>
        </w:rPr>
      </w:pPr>
      <w:r>
        <w:rPr>
          <w:rFonts w:hint="eastAsia" w:ascii="仿宋" w:hAnsi="仿宋" w:eastAsia="仿宋"/>
          <w:color w:val="000000"/>
          <w:sz w:val="32"/>
          <w:szCs w:val="32"/>
          <w:lang w:eastAsia="zh-CN"/>
        </w:rPr>
        <w:t>无</w:t>
      </w:r>
    </w:p>
    <w:p>
      <w:pPr>
        <w:pStyle w:val="3"/>
        <w:ind w:right="440"/>
        <w:jc w:val="center"/>
        <w:rPr>
          <w:rStyle w:val="24"/>
          <w:rFonts w:ascii="黑体" w:hAnsi="黑体" w:eastAsia="黑体"/>
          <w:b w:val="0"/>
          <w:bCs/>
        </w:rPr>
      </w:pPr>
      <w:bookmarkStart w:id="16" w:name="_Toc15377204"/>
      <w:bookmarkStart w:id="17" w:name="_Toc15396602"/>
      <w:r>
        <w:rPr>
          <w:rFonts w:hint="eastAsia" w:ascii="黑体" w:hAnsi="黑体" w:eastAsia="黑体"/>
          <w:b w:val="0"/>
        </w:rPr>
        <w:t>第二部分 2020年度单位</w:t>
      </w:r>
      <w:r>
        <w:rPr>
          <w:rStyle w:val="24"/>
          <w:rFonts w:hint="eastAsia" w:ascii="黑体" w:hAnsi="黑体" w:eastAsia="黑体"/>
          <w:b w:val="0"/>
          <w:bCs/>
        </w:rPr>
        <w:t>决算情况说明</w:t>
      </w:r>
      <w:bookmarkEnd w:id="16"/>
      <w:bookmarkEnd w:id="17"/>
    </w:p>
    <w:p/>
    <w:p>
      <w:pPr>
        <w:pStyle w:val="23"/>
        <w:spacing w:line="600" w:lineRule="exact"/>
        <w:ind w:left="640" w:firstLine="0" w:firstLineChars="0"/>
        <w:outlineLvl w:val="1"/>
        <w:rPr>
          <w:rStyle w:val="25"/>
          <w:rFonts w:ascii="黑体" w:hAnsi="黑体" w:eastAsia="黑体"/>
          <w:b w:val="0"/>
        </w:rPr>
      </w:pPr>
      <w:bookmarkStart w:id="18" w:name="_Toc15377205"/>
      <w:bookmarkStart w:id="19" w:name="_Toc15396603"/>
      <w:r>
        <w:rPr>
          <w:rFonts w:hint="eastAsia" w:ascii="黑体" w:hAnsi="黑体" w:eastAsia="黑体"/>
          <w:color w:val="000000"/>
          <w:sz w:val="32"/>
          <w:szCs w:val="32"/>
        </w:rPr>
        <w:t>一、收</w:t>
      </w:r>
      <w:r>
        <w:rPr>
          <w:rStyle w:val="25"/>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rPr>
        <w:t>2020年度收、支总计22.98万元。与2019年相比，收、支总计各增加22.98万元，增长100</w:t>
      </w:r>
      <w:r>
        <w:rPr>
          <w:rFonts w:ascii="仿宋" w:hAnsi="仿宋" w:eastAsia="仿宋"/>
          <w:color w:val="000000"/>
          <w:sz w:val="32"/>
          <w:szCs w:val="32"/>
        </w:rPr>
        <w:t>%</w:t>
      </w:r>
      <w:r>
        <w:rPr>
          <w:rFonts w:hint="eastAsia" w:ascii="仿宋" w:hAnsi="仿宋" w:eastAsia="仿宋"/>
          <w:color w:val="000000"/>
          <w:sz w:val="32"/>
          <w:szCs w:val="32"/>
        </w:rPr>
        <w:t>。主要变动原因是2020年之前单位无在编在岗职工。</w:t>
      </w:r>
    </w:p>
    <w:p>
      <w:pPr>
        <w:pStyle w:val="2"/>
        <w:spacing w:before="93"/>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drawing>
          <wp:inline distT="0" distB="0" distL="114300" distR="114300">
            <wp:extent cx="5263515" cy="2921635"/>
            <wp:effectExtent l="0" t="0" r="13335" b="12065"/>
            <wp:docPr id="4" name="图片 4" descr="微信图片_2021090311401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微信图片_20210903114013"/>
                    <pic:cNvPicPr>
                      <a:picLocks noChangeAspect="true"/>
                    </pic:cNvPicPr>
                  </pic:nvPicPr>
                  <pic:blipFill>
                    <a:blip r:embed="rId6"/>
                    <a:stretch>
                      <a:fillRect/>
                    </a:stretch>
                  </pic:blipFill>
                  <pic:spPr>
                    <a:xfrm>
                      <a:off x="0" y="0"/>
                      <a:ext cx="5263515" cy="2921635"/>
                    </a:xfrm>
                    <a:prstGeom prst="rect">
                      <a:avLst/>
                    </a:prstGeom>
                  </pic:spPr>
                </pic:pic>
              </a:graphicData>
            </a:graphic>
          </wp:inline>
        </w:drawing>
      </w:r>
    </w:p>
    <w:p>
      <w:pPr>
        <w:spacing w:line="600" w:lineRule="exact"/>
        <w:jc w:val="left"/>
        <w:rPr>
          <w:rFonts w:ascii="仿宋_GB2312" w:eastAsia="仿宋_GB2312"/>
          <w:color w:val="000000"/>
          <w:sz w:val="32"/>
          <w:szCs w:val="32"/>
        </w:rPr>
      </w:pPr>
    </w:p>
    <w:p>
      <w:pPr>
        <w:pStyle w:val="23"/>
        <w:spacing w:line="600" w:lineRule="exact"/>
        <w:ind w:left="640" w:firstLine="0" w:firstLineChars="0"/>
        <w:outlineLvl w:val="1"/>
        <w:rPr>
          <w:rStyle w:val="25"/>
          <w:rFonts w:ascii="黑体" w:hAnsi="黑体" w:eastAsia="黑体"/>
          <w:b w:val="0"/>
        </w:rPr>
      </w:pPr>
      <w:bookmarkStart w:id="20" w:name="_Toc15396604"/>
      <w:bookmarkStart w:id="21" w:name="_Toc15377206"/>
      <w:r>
        <w:rPr>
          <w:rFonts w:hint="eastAsia" w:ascii="黑体" w:hAnsi="黑体" w:eastAsia="黑体"/>
          <w:color w:val="000000"/>
          <w:sz w:val="32"/>
          <w:szCs w:val="32"/>
        </w:rPr>
        <w:t>二、收</w:t>
      </w:r>
      <w:r>
        <w:rPr>
          <w:rStyle w:val="25"/>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20年本年收入合计22.98万元，其中：一般公共预算财政拨款收入22.98万元，占100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上级补助收入0</w:t>
      </w:r>
      <w:r>
        <w:rPr>
          <w:rFonts w:hint="eastAsia" w:ascii="仿宋" w:hAnsi="仿宋" w:eastAsia="仿宋"/>
          <w:color w:val="000000"/>
          <w:sz w:val="32"/>
          <w:szCs w:val="32"/>
        </w:rPr>
        <w:t>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p>
    <w:p>
      <w:pPr>
        <w:pStyle w:val="2"/>
        <w:spacing w:before="93"/>
        <w:rPr>
          <w:color w:val="FF0000"/>
          <w:sz w:val="32"/>
          <w:szCs w:val="32"/>
        </w:rPr>
      </w:pPr>
      <w:r>
        <w:rPr>
          <w:rFonts w:hint="eastAsia" w:eastAsia="仿宋"/>
        </w:rPr>
        <w:drawing>
          <wp:inline distT="0" distB="0" distL="114300" distR="114300">
            <wp:extent cx="5059680" cy="3234055"/>
            <wp:effectExtent l="0" t="0" r="7620" b="4445"/>
            <wp:docPr id="6" name="图片 6" descr="038a995b265ecd4a3796594d349e3b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038a995b265ecd4a3796594d349e3b5"/>
                    <pic:cNvPicPr>
                      <a:picLocks noChangeAspect="true"/>
                    </pic:cNvPicPr>
                  </pic:nvPicPr>
                  <pic:blipFill>
                    <a:blip r:embed="rId7"/>
                    <a:stretch>
                      <a:fillRect/>
                    </a:stretch>
                  </pic:blipFill>
                  <pic:spPr>
                    <a:xfrm>
                      <a:off x="0" y="0"/>
                      <a:ext cx="5059680" cy="3234055"/>
                    </a:xfrm>
                    <a:prstGeom prst="rect">
                      <a:avLst/>
                    </a:prstGeom>
                  </pic:spPr>
                </pic:pic>
              </a:graphicData>
            </a:graphic>
          </wp:inline>
        </w:drawing>
      </w:r>
    </w:p>
    <w:p>
      <w:pPr>
        <w:pStyle w:val="23"/>
        <w:spacing w:line="600" w:lineRule="exact"/>
        <w:ind w:left="640" w:firstLine="0" w:firstLineChars="0"/>
        <w:outlineLvl w:val="1"/>
        <w:rPr>
          <w:rStyle w:val="25"/>
          <w:rFonts w:ascii="黑体" w:hAnsi="黑体" w:eastAsia="黑体"/>
          <w:b w:val="0"/>
        </w:rPr>
      </w:pPr>
      <w:bookmarkStart w:id="22" w:name="_Toc15396605"/>
      <w:bookmarkStart w:id="23" w:name="_Toc15377207"/>
      <w:r>
        <w:rPr>
          <w:rFonts w:hint="eastAsia" w:ascii="黑体" w:hAnsi="黑体" w:eastAsia="黑体"/>
          <w:color w:val="000000"/>
          <w:sz w:val="32"/>
          <w:szCs w:val="32"/>
        </w:rPr>
        <w:t>三、支</w:t>
      </w:r>
      <w:r>
        <w:rPr>
          <w:rStyle w:val="25"/>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20年本年支出合计22.98万元，其中：基本支出22.98万元，占100</w:t>
      </w:r>
      <w:r>
        <w:rPr>
          <w:rFonts w:ascii="仿宋" w:hAnsi="仿宋" w:eastAsia="仿宋"/>
          <w:color w:val="000000"/>
          <w:sz w:val="32"/>
          <w:szCs w:val="32"/>
        </w:rPr>
        <w:t>%</w:t>
      </w:r>
      <w:r>
        <w:rPr>
          <w:rFonts w:hint="eastAsia" w:ascii="仿宋" w:hAnsi="仿宋" w:eastAsia="仿宋"/>
          <w:color w:val="000000"/>
          <w:sz w:val="32"/>
          <w:szCs w:val="32"/>
        </w:rPr>
        <w:t>；项目支出0万元，占0</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pStyle w:val="2"/>
        <w:spacing w:before="93"/>
        <w:rPr>
          <w:color w:val="FF0000"/>
          <w:sz w:val="32"/>
          <w:szCs w:val="32"/>
        </w:rPr>
      </w:pPr>
      <w:r>
        <w:rPr>
          <w:rFonts w:hint="eastAsia"/>
        </w:rPr>
        <w:drawing>
          <wp:inline distT="0" distB="0" distL="114300" distR="114300">
            <wp:extent cx="5256530" cy="3338195"/>
            <wp:effectExtent l="0" t="0" r="1270" b="14605"/>
            <wp:docPr id="7" name="图片 7" descr="9da773e3635e75f1bcd2959316fb0ff"/>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9da773e3635e75f1bcd2959316fb0ff"/>
                    <pic:cNvPicPr>
                      <a:picLocks noChangeAspect="true"/>
                    </pic:cNvPicPr>
                  </pic:nvPicPr>
                  <pic:blipFill>
                    <a:blip r:embed="rId8"/>
                    <a:stretch>
                      <a:fillRect/>
                    </a:stretch>
                  </pic:blipFill>
                  <pic:spPr>
                    <a:xfrm>
                      <a:off x="0" y="0"/>
                      <a:ext cx="5256530" cy="3338195"/>
                    </a:xfrm>
                    <a:prstGeom prst="rect">
                      <a:avLst/>
                    </a:prstGeom>
                  </pic:spPr>
                </pic:pic>
              </a:graphicData>
            </a:graphic>
          </wp:inline>
        </w:drawing>
      </w:r>
    </w:p>
    <w:p>
      <w:pPr>
        <w:spacing w:line="600" w:lineRule="exact"/>
        <w:ind w:firstLine="640" w:firstLineChars="200"/>
        <w:outlineLvl w:val="1"/>
        <w:rPr>
          <w:rStyle w:val="25"/>
          <w:rFonts w:ascii="黑体" w:hAnsi="黑体" w:eastAsia="黑体"/>
          <w:b w:val="0"/>
        </w:rPr>
      </w:pPr>
      <w:bookmarkStart w:id="24" w:name="_Toc15377208"/>
      <w:bookmarkStart w:id="25"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20年财政拨款收、支总计22.98万元。与</w:t>
      </w:r>
      <w:r>
        <w:rPr>
          <w:rFonts w:ascii="仿宋" w:hAnsi="仿宋" w:eastAsia="仿宋"/>
          <w:color w:val="000000"/>
          <w:sz w:val="32"/>
          <w:szCs w:val="32"/>
        </w:rPr>
        <w:t>201</w:t>
      </w:r>
      <w:r>
        <w:rPr>
          <w:rFonts w:hint="eastAsia" w:ascii="仿宋" w:hAnsi="仿宋" w:eastAsia="仿宋"/>
          <w:color w:val="000000"/>
          <w:sz w:val="32"/>
          <w:szCs w:val="32"/>
        </w:rPr>
        <w:t>9年相比，财政拨款收、支总计各增加22.98万元，增长100</w:t>
      </w:r>
      <w:r>
        <w:rPr>
          <w:rFonts w:ascii="仿宋" w:hAnsi="仿宋" w:eastAsia="仿宋"/>
          <w:color w:val="000000"/>
          <w:sz w:val="32"/>
          <w:szCs w:val="32"/>
        </w:rPr>
        <w:t>%</w:t>
      </w:r>
      <w:r>
        <w:rPr>
          <w:rFonts w:hint="eastAsia" w:ascii="仿宋" w:hAnsi="仿宋" w:eastAsia="仿宋"/>
          <w:color w:val="000000"/>
          <w:sz w:val="32"/>
          <w:szCs w:val="32"/>
        </w:rPr>
        <w:t>。主要变动原因是2020年之前单位无在编在岗职工。</w:t>
      </w:r>
    </w:p>
    <w:p>
      <w:pPr>
        <w:pStyle w:val="2"/>
        <w:spacing w:before="93"/>
        <w:rPr>
          <w:rFonts w:eastAsia="仿宋"/>
        </w:rPr>
      </w:pPr>
      <w:r>
        <w:rPr>
          <w:rFonts w:hint="eastAsia" w:eastAsia="仿宋"/>
        </w:rPr>
        <w:drawing>
          <wp:inline distT="0" distB="0" distL="114300" distR="114300">
            <wp:extent cx="4220210" cy="2342515"/>
            <wp:effectExtent l="19050" t="0" r="8659" b="0"/>
            <wp:docPr id="8" name="图片 8" descr="1943437dc8579facfe56c44113b29a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1943437dc8579facfe56c44113b29a2"/>
                    <pic:cNvPicPr>
                      <a:picLocks noChangeAspect="true"/>
                    </pic:cNvPicPr>
                  </pic:nvPicPr>
                  <pic:blipFill>
                    <a:blip r:embed="rId9"/>
                    <a:stretch>
                      <a:fillRect/>
                    </a:stretch>
                  </pic:blipFill>
                  <pic:spPr>
                    <a:xfrm>
                      <a:off x="0" y="0"/>
                      <a:ext cx="4225369" cy="2345388"/>
                    </a:xfrm>
                    <a:prstGeom prst="rect">
                      <a:avLst/>
                    </a:prstGeom>
                  </pic:spPr>
                </pic:pic>
              </a:graphicData>
            </a:graphic>
          </wp:inline>
        </w:drawing>
      </w:r>
    </w:p>
    <w:p>
      <w:pPr>
        <w:spacing w:line="600" w:lineRule="exact"/>
        <w:ind w:firstLine="640" w:firstLineChars="200"/>
        <w:outlineLvl w:val="1"/>
        <w:rPr>
          <w:rStyle w:val="25"/>
          <w:rFonts w:ascii="黑体" w:hAnsi="黑体" w:eastAsia="黑体"/>
          <w:b w:val="0"/>
        </w:rPr>
      </w:pPr>
      <w:bookmarkStart w:id="26" w:name="_Toc15396607"/>
      <w:bookmarkStart w:id="27"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26"/>
      <w:bookmarkEnd w:id="27"/>
    </w:p>
    <w:p>
      <w:pPr>
        <w:spacing w:line="600" w:lineRule="exact"/>
        <w:ind w:firstLine="640" w:firstLineChars="200"/>
        <w:outlineLvl w:val="2"/>
        <w:rPr>
          <w:rFonts w:ascii="仿宋" w:hAnsi="仿宋" w:eastAsia="仿宋"/>
          <w:b/>
          <w:color w:val="000000"/>
          <w:sz w:val="32"/>
          <w:szCs w:val="32"/>
        </w:rPr>
      </w:pPr>
      <w:bookmarkStart w:id="28" w:name="_Toc15377210"/>
      <w:r>
        <w:rPr>
          <w:rFonts w:hint="eastAsia" w:ascii="仿宋" w:hAnsi="仿宋" w:eastAsia="仿宋"/>
          <w:b/>
          <w:color w:val="000000"/>
          <w:sz w:val="32"/>
          <w:szCs w:val="32"/>
        </w:rPr>
        <w:t>（一）一般公共预算财政拨款支出决算总体情况</w:t>
      </w:r>
      <w:bookmarkEnd w:id="2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20年一般公共预算财政拨款支出22.98万元，占本年支出合计的100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9年相比，一般公共预算财政拨款增加22.98万元，增长100</w:t>
      </w:r>
      <w:r>
        <w:rPr>
          <w:rFonts w:ascii="仿宋" w:hAnsi="仿宋" w:eastAsia="仿宋"/>
          <w:color w:val="000000"/>
          <w:sz w:val="32"/>
          <w:szCs w:val="32"/>
        </w:rPr>
        <w:t>%</w:t>
      </w:r>
      <w:r>
        <w:rPr>
          <w:rFonts w:hint="eastAsia" w:ascii="仿宋" w:hAnsi="仿宋" w:eastAsia="仿宋"/>
          <w:color w:val="000000"/>
          <w:sz w:val="32"/>
          <w:szCs w:val="32"/>
        </w:rPr>
        <w:t>。主要变动原因是2020年之前单位无在编在岗职工，无任何支出。</w:t>
      </w:r>
    </w:p>
    <w:p>
      <w:pPr>
        <w:pStyle w:val="2"/>
        <w:spacing w:before="93"/>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rPr>
        <w:drawing>
          <wp:inline distT="0" distB="0" distL="114300" distR="114300">
            <wp:extent cx="3745230" cy="2078355"/>
            <wp:effectExtent l="19050" t="0" r="7422" b="0"/>
            <wp:docPr id="10" name="图片 10" descr="b5e2362dc34bbfaa003e208ce93fa7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descr="b5e2362dc34bbfaa003e208ce93fa7e"/>
                    <pic:cNvPicPr>
                      <a:picLocks noChangeAspect="true"/>
                    </pic:cNvPicPr>
                  </pic:nvPicPr>
                  <pic:blipFill>
                    <a:blip r:embed="rId10"/>
                    <a:stretch>
                      <a:fillRect/>
                    </a:stretch>
                  </pic:blipFill>
                  <pic:spPr>
                    <a:xfrm>
                      <a:off x="0" y="0"/>
                      <a:ext cx="3749795" cy="2081410"/>
                    </a:xfrm>
                    <a:prstGeom prst="rect">
                      <a:avLst/>
                    </a:prstGeom>
                  </pic:spPr>
                </pic:pic>
              </a:graphicData>
            </a:graphic>
          </wp:inline>
        </w:drawing>
      </w:r>
    </w:p>
    <w:p>
      <w:pPr>
        <w:spacing w:line="600" w:lineRule="exact"/>
        <w:ind w:firstLine="640" w:firstLineChars="200"/>
        <w:outlineLvl w:val="2"/>
        <w:rPr>
          <w:rFonts w:ascii="仿宋" w:hAnsi="仿宋" w:eastAsia="仿宋"/>
          <w:b/>
          <w:color w:val="000000"/>
          <w:sz w:val="32"/>
          <w:szCs w:val="32"/>
        </w:rPr>
      </w:pPr>
      <w:bookmarkStart w:id="29" w:name="_Toc15377211"/>
      <w:r>
        <w:rPr>
          <w:rFonts w:hint="eastAsia" w:ascii="仿宋" w:hAnsi="仿宋" w:eastAsia="仿宋"/>
          <w:b/>
          <w:color w:val="000000"/>
          <w:sz w:val="32"/>
          <w:szCs w:val="32"/>
        </w:rPr>
        <w:t>（二）一般公共预算财政拨款支出决算结构情况</w:t>
      </w:r>
      <w:bookmarkEnd w:id="29"/>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w:t>
      </w:r>
      <w:r>
        <w:rPr>
          <w:rFonts w:hint="eastAsia" w:ascii="仿宋" w:hAnsi="仿宋" w:eastAsia="仿宋"/>
          <w:color w:val="000000"/>
          <w:sz w:val="32"/>
          <w:szCs w:val="32"/>
        </w:rPr>
        <w:t>20年一般公共预算财</w:t>
      </w:r>
      <w:r>
        <w:rPr>
          <w:rFonts w:hint="eastAsia" w:ascii="仿宋" w:hAnsi="仿宋" w:eastAsia="仿宋"/>
          <w:color w:val="000000" w:themeColor="text1"/>
          <w:sz w:val="32"/>
          <w:szCs w:val="32"/>
          <w14:textFill>
            <w14:solidFill>
              <w14:schemeClr w14:val="tx1"/>
            </w14:solidFill>
          </w14:textFill>
        </w:rPr>
        <w:t>政拨款支出22.98万元，主要用于以下方面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支出16.33万元，占71.06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教育支出（类）</w:t>
      </w:r>
      <w:r>
        <w:rPr>
          <w:rFonts w:hint="eastAsia" w:ascii="仿宋" w:hAnsi="仿宋" w:eastAsia="仿宋"/>
          <w:color w:val="000000" w:themeColor="text1"/>
          <w:sz w:val="32"/>
          <w:szCs w:val="32"/>
          <w14:textFill>
            <w14:solidFill>
              <w14:schemeClr w14:val="tx1"/>
            </w14:solidFill>
          </w14:textFill>
        </w:rPr>
        <w:t>0万元，占0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科学技术（类）</w:t>
      </w:r>
      <w:r>
        <w:rPr>
          <w:rFonts w:hint="eastAsia" w:ascii="仿宋" w:hAnsi="仿宋" w:eastAsia="仿宋"/>
          <w:color w:val="000000" w:themeColor="text1"/>
          <w:sz w:val="32"/>
          <w:szCs w:val="32"/>
          <w14:textFill>
            <w14:solidFill>
              <w14:schemeClr w14:val="tx1"/>
            </w14:solidFill>
          </w14:textFill>
        </w:rPr>
        <w:t>支出0万元，占0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文化旅游体育与传媒（类）支出0万元，占0</w:t>
      </w:r>
      <w:r>
        <w:rPr>
          <w:rFonts w:ascii="仿宋" w:hAnsi="仿宋" w:eastAsia="仿宋"/>
          <w:b/>
          <w:bCs/>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支出3.68万元，占16.01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卫生健康支出</w:t>
      </w:r>
      <w:r>
        <w:rPr>
          <w:rFonts w:hint="eastAsia" w:ascii="仿宋" w:hAnsi="仿宋" w:eastAsia="仿宋"/>
          <w:color w:val="000000" w:themeColor="text1"/>
          <w:sz w:val="32"/>
          <w:szCs w:val="32"/>
          <w14:textFill>
            <w14:solidFill>
              <w14:schemeClr w14:val="tx1"/>
            </w14:solidFill>
          </w14:textFill>
        </w:rPr>
        <w:t>1.27万元，占5.53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；住房保障支出1.7万元，占7.40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pStyle w:val="2"/>
        <w:spacing w:before="93"/>
      </w:pPr>
    </w:p>
    <w:p>
      <w:pPr>
        <w:pStyle w:val="2"/>
        <w:spacing w:before="93"/>
        <w:rPr>
          <w:rFonts w:ascii="仿宋" w:hAnsi="仿宋" w:eastAsia="仿宋"/>
          <w:color w:val="000000"/>
          <w:sz w:val="32"/>
          <w:szCs w:val="32"/>
        </w:rPr>
      </w:pPr>
      <w:r>
        <w:rPr>
          <w:rFonts w:hint="eastAsia" w:ascii="仿宋" w:hAnsi="仿宋" w:eastAsia="仿宋"/>
          <w:color w:val="000000" w:themeColor="text1"/>
          <w:sz w:val="32"/>
          <w:szCs w:val="32"/>
          <w14:textFill>
            <w14:solidFill>
              <w14:schemeClr w14:val="tx1"/>
            </w14:solidFill>
          </w14:textFill>
        </w:rPr>
        <w:drawing>
          <wp:inline distT="0" distB="0" distL="114300" distR="114300">
            <wp:extent cx="5256530" cy="3267710"/>
            <wp:effectExtent l="0" t="0" r="0" b="0"/>
            <wp:docPr id="11" name="图片 11" descr="eb874eaeca1f473078f07edd00dcbd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descr="eb874eaeca1f473078f07edd00dcbd3"/>
                    <pic:cNvPicPr>
                      <a:picLocks noChangeAspect="true"/>
                    </pic:cNvPicPr>
                  </pic:nvPicPr>
                  <pic:blipFill>
                    <a:blip r:embed="rId11"/>
                    <a:stretch>
                      <a:fillRect/>
                    </a:stretch>
                  </pic:blipFill>
                  <pic:spPr>
                    <a:xfrm>
                      <a:off x="0" y="0"/>
                      <a:ext cx="5256530" cy="3267710"/>
                    </a:xfrm>
                    <a:prstGeom prst="rect">
                      <a:avLst/>
                    </a:prstGeom>
                  </pic:spPr>
                </pic:pic>
              </a:graphicData>
            </a:graphic>
          </wp:inline>
        </w:drawing>
      </w:r>
    </w:p>
    <w:p>
      <w:pPr>
        <w:spacing w:line="600" w:lineRule="exact"/>
        <w:ind w:firstLine="640" w:firstLineChars="200"/>
        <w:outlineLvl w:val="2"/>
        <w:rPr>
          <w:rFonts w:ascii="仿宋" w:hAnsi="仿宋" w:eastAsia="仿宋"/>
          <w:b/>
          <w:color w:val="000000"/>
          <w:sz w:val="32"/>
          <w:szCs w:val="32"/>
        </w:rPr>
      </w:pPr>
      <w:bookmarkStart w:id="30" w:name="_Toc15377212"/>
      <w:r>
        <w:rPr>
          <w:rFonts w:hint="eastAsia" w:ascii="仿宋" w:hAnsi="仿宋" w:eastAsia="仿宋"/>
          <w:b/>
          <w:color w:val="000000"/>
          <w:sz w:val="32"/>
          <w:szCs w:val="32"/>
        </w:rPr>
        <w:t>（三）一般公共预算财政拨款支出决算具体情况</w:t>
      </w:r>
      <w:bookmarkEnd w:id="30"/>
    </w:p>
    <w:p>
      <w:pPr>
        <w:spacing w:line="600" w:lineRule="exact"/>
        <w:ind w:firstLine="640" w:firstLineChars="200"/>
        <w:outlineLvl w:val="2"/>
        <w:rPr>
          <w:rFonts w:ascii="仿宋" w:hAnsi="仿宋" w:eastAsia="仿宋"/>
          <w:color w:val="FF0000"/>
          <w:sz w:val="32"/>
          <w:szCs w:val="32"/>
        </w:rPr>
      </w:pPr>
      <w:bookmarkStart w:id="31" w:name="_Toc15377213"/>
      <w:bookmarkStart w:id="32" w:name="_Toc15378460"/>
      <w:bookmarkStart w:id="33" w:name="_Toc15377444"/>
      <w:r>
        <w:rPr>
          <w:rFonts w:hint="eastAsia" w:ascii="仿宋" w:hAnsi="仿宋" w:eastAsia="仿宋"/>
          <w:b/>
          <w:color w:val="000000" w:themeColor="text1"/>
          <w:sz w:val="32"/>
          <w:szCs w:val="32"/>
          <w14:textFill>
            <w14:solidFill>
              <w14:schemeClr w14:val="tx1"/>
            </w14:solidFill>
          </w14:textFill>
        </w:rPr>
        <w:t>2020年一般公共预算支出决算数为22.98</w:t>
      </w:r>
      <w:r>
        <w:rPr>
          <w:rFonts w:hint="eastAsia" w:ascii="仿宋" w:hAnsi="仿宋" w:eastAsia="仿宋"/>
          <w:color w:val="000000" w:themeColor="text1"/>
          <w:sz w:val="32"/>
          <w:szCs w:val="32"/>
          <w14:textFill>
            <w14:solidFill>
              <w14:schemeClr w14:val="tx1"/>
            </w14:solidFill>
          </w14:textFill>
        </w:rPr>
        <w:t>，</w:t>
      </w:r>
      <w:r>
        <w:rPr>
          <w:rStyle w:val="14"/>
          <w:rFonts w:hint="eastAsia" w:ascii="仿宋" w:hAnsi="仿宋" w:eastAsia="仿宋"/>
          <w:bCs/>
          <w:color w:val="000000" w:themeColor="text1"/>
          <w:sz w:val="32"/>
          <w:szCs w:val="32"/>
          <w14:textFill>
            <w14:solidFill>
              <w14:schemeClr w14:val="tx1"/>
            </w14:solidFill>
          </w14:textFill>
        </w:rPr>
        <w:t>完成</w:t>
      </w:r>
      <w:r>
        <w:rPr>
          <w:rStyle w:val="14"/>
          <w:rFonts w:hint="eastAsia" w:ascii="仿宋" w:hAnsi="仿宋" w:eastAsia="仿宋"/>
          <w:bCs/>
          <w:color w:val="000000"/>
          <w:sz w:val="32"/>
          <w:szCs w:val="32"/>
        </w:rPr>
        <w:t>预算100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1"/>
      <w:bookmarkEnd w:id="32"/>
      <w:bookmarkEnd w:id="33"/>
    </w:p>
    <w:p>
      <w:pPr>
        <w:spacing w:line="600" w:lineRule="exact"/>
        <w:ind w:firstLine="640" w:firstLineChars="200"/>
        <w:rPr>
          <w:rFonts w:ascii="仿宋" w:hAnsi="仿宋" w:eastAsia="仿宋"/>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一般公共服务（类）群众团体事务（款）事业运行（项）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支出决算为16.33万元，完成预算100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0" w:firstLineChars="200"/>
        <w:rPr>
          <w:rFonts w:ascii="仿宋" w:hAnsi="仿宋" w:eastAsia="仿宋"/>
          <w:b/>
          <w:color w:val="000000"/>
          <w:sz w:val="32"/>
          <w:szCs w:val="32"/>
        </w:rPr>
      </w:pPr>
      <w:r>
        <w:rPr>
          <w:rStyle w:val="14"/>
          <w:rFonts w:hint="eastAsia" w:ascii="仿宋" w:hAnsi="仿宋" w:eastAsia="仿宋"/>
          <w:bCs/>
          <w:color w:val="000000"/>
          <w:sz w:val="32"/>
          <w:szCs w:val="32"/>
        </w:rPr>
        <w:t>2</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社会保障和就业（类）行政事业单位养老（款）机关事业单位基本养老保险缴费（项）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支出决算为3.68万元，完成预算100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0" w:firstLineChars="200"/>
        <w:rPr>
          <w:rFonts w:ascii="仿宋" w:hAnsi="仿宋" w:eastAsia="仿宋"/>
          <w:b/>
          <w:color w:val="000000"/>
          <w:sz w:val="32"/>
          <w:szCs w:val="32"/>
        </w:rPr>
      </w:pPr>
      <w:r>
        <w:rPr>
          <w:rStyle w:val="14"/>
          <w:rFonts w:hint="eastAsia" w:ascii="仿宋" w:hAnsi="仿宋" w:eastAsia="仿宋"/>
          <w:bCs/>
          <w:color w:val="000000"/>
          <w:sz w:val="32"/>
          <w:szCs w:val="32"/>
        </w:rPr>
        <w:t>3</w:t>
      </w:r>
      <w:r>
        <w:rPr>
          <w:rStyle w:val="14"/>
          <w:rFonts w:ascii="仿宋" w:hAnsi="仿宋" w:eastAsia="仿宋"/>
          <w:bCs/>
          <w:color w:val="000000"/>
          <w:sz w:val="32"/>
          <w:szCs w:val="32"/>
        </w:rPr>
        <w:t>.</w:t>
      </w:r>
      <w:r>
        <w:rPr>
          <w:rFonts w:hint="eastAsia" w:ascii="仿宋" w:hAnsi="仿宋" w:eastAsia="仿宋"/>
          <w:b/>
          <w:bCs/>
          <w:color w:val="000000" w:themeColor="text1"/>
          <w:sz w:val="32"/>
          <w:szCs w:val="32"/>
          <w14:textFill>
            <w14:solidFill>
              <w14:schemeClr w14:val="tx1"/>
            </w14:solidFill>
          </w14:textFill>
        </w:rPr>
        <w:t>卫生健康</w:t>
      </w:r>
      <w:r>
        <w:rPr>
          <w:rStyle w:val="14"/>
          <w:rFonts w:hint="eastAsia" w:ascii="仿宋" w:hAnsi="仿宋" w:eastAsia="仿宋"/>
          <w:bCs/>
          <w:color w:val="000000"/>
          <w:sz w:val="32"/>
          <w:szCs w:val="32"/>
        </w:rPr>
        <w:t>（类）行政事业单位医疗（款）事业单位医疗（项）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支出决算为1.27万元，完成预算100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tabs>
          <w:tab w:val="right" w:pos="8306"/>
        </w:tabs>
        <w:spacing w:line="600" w:lineRule="exact"/>
        <w:ind w:firstLine="640"/>
        <w:outlineLvl w:val="1"/>
        <w:rPr>
          <w:rStyle w:val="25"/>
        </w:rPr>
      </w:pPr>
      <w:bookmarkStart w:id="34" w:name="_Toc15396608"/>
      <w:bookmarkStart w:id="35"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34"/>
      <w:bookmarkEnd w:id="35"/>
      <w:r>
        <w:rPr>
          <w:rStyle w:val="25"/>
          <w:rFonts w:ascii="黑体" w:hAnsi="黑体" w:eastAsia="黑体"/>
          <w:b w:val="0"/>
        </w:rPr>
        <w:tab/>
      </w:r>
    </w:p>
    <w:p>
      <w:pPr>
        <w:spacing w:line="600" w:lineRule="exact"/>
        <w:ind w:firstLine="640" w:firstLineChars="20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2020年一般公共预算财政拨款基本支出22.98万元，其中：</w:t>
      </w:r>
    </w:p>
    <w:p>
      <w:pPr>
        <w:spacing w:line="600" w:lineRule="exact"/>
        <w:ind w:firstLine="640" w:firstLineChars="20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人员经费20.82万元，主要包括：基本工资、津贴补贴、奖金、绩效工资、机关事业单位基本养老保险缴费、职业年金缴费、其他社会保障缴费、其他工资福利支出、生活补助、医疗费补助、奖励金、住房公积金、其他对个人和家庭的补助支出等。</w:t>
      </w:r>
      <w:r>
        <w:rPr>
          <w:rStyle w:val="14"/>
          <w:rFonts w:hint="eastAsia" w:ascii="仿宋" w:hAnsi="仿宋" w:eastAsia="仿宋" w:cstheme="minorBidi"/>
          <w:b w:val="0"/>
          <w:bCs/>
          <w:color w:val="000000"/>
          <w:sz w:val="32"/>
          <w:szCs w:val="32"/>
        </w:rPr>
        <w:br w:type="textWrapping"/>
      </w:r>
      <w:r>
        <w:rPr>
          <w:rStyle w:val="14"/>
          <w:rFonts w:hint="eastAsia" w:ascii="仿宋" w:hAnsi="仿宋" w:eastAsia="仿宋" w:cstheme="minorBidi"/>
          <w:b w:val="0"/>
          <w:bCs/>
          <w:color w:val="000000"/>
          <w:sz w:val="32"/>
          <w:szCs w:val="32"/>
        </w:rPr>
        <w:t>　　公用经费2.16万元，主要包括：办公费、印刷费、咨询费、手续费、水费、电费、邮电费、取暖费、物业管理费、差旅费、劳务费、工会经费、福利费、其他交通费、其他商品和服务支出、办公设备购置、信息网络及软件购置更新等。</w:t>
      </w:r>
    </w:p>
    <w:p>
      <w:pPr>
        <w:spacing w:line="600" w:lineRule="exact"/>
        <w:ind w:firstLine="640"/>
        <w:outlineLvl w:val="1"/>
        <w:rPr>
          <w:rStyle w:val="25"/>
          <w:rFonts w:ascii="黑体" w:hAnsi="黑体" w:eastAsia="黑体"/>
          <w:b w:val="0"/>
        </w:rPr>
      </w:pPr>
      <w:bookmarkStart w:id="36" w:name="_Toc15377215"/>
      <w:bookmarkStart w:id="37"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36"/>
      <w:bookmarkEnd w:id="37"/>
    </w:p>
    <w:p>
      <w:pPr>
        <w:spacing w:line="600" w:lineRule="exact"/>
        <w:ind w:firstLine="640"/>
        <w:outlineLvl w:val="2"/>
        <w:rPr>
          <w:rFonts w:ascii="仿宋" w:hAnsi="仿宋" w:eastAsia="仿宋"/>
          <w:b/>
          <w:color w:val="000000"/>
          <w:sz w:val="32"/>
          <w:szCs w:val="32"/>
        </w:rPr>
      </w:pPr>
      <w:bookmarkStart w:id="38" w:name="_Toc15377216"/>
      <w:r>
        <w:rPr>
          <w:rFonts w:hint="eastAsia" w:ascii="仿宋" w:hAnsi="仿宋" w:eastAsia="仿宋"/>
          <w:b/>
          <w:color w:val="000000"/>
          <w:sz w:val="32"/>
          <w:szCs w:val="32"/>
        </w:rPr>
        <w:t>（一）“三公”经费财政拨款支出决算总体情况说明</w:t>
      </w:r>
      <w:bookmarkEnd w:id="38"/>
    </w:p>
    <w:p>
      <w:pPr>
        <w:spacing w:line="600" w:lineRule="exact"/>
        <w:ind w:firstLine="640" w:firstLineChars="20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2020年“三公”经费财政拨款支出决算为0万元，完成预算100%，决算数与预算数持平。</w:t>
      </w:r>
    </w:p>
    <w:p>
      <w:pPr>
        <w:spacing w:line="600" w:lineRule="exact"/>
        <w:ind w:firstLine="640"/>
        <w:outlineLvl w:val="2"/>
        <w:rPr>
          <w:rFonts w:ascii="仿宋" w:hAnsi="仿宋" w:eastAsia="仿宋"/>
          <w:b/>
          <w:color w:val="000000"/>
          <w:sz w:val="32"/>
          <w:szCs w:val="32"/>
        </w:rPr>
      </w:pPr>
      <w:bookmarkStart w:id="39" w:name="_Toc15377217"/>
      <w:r>
        <w:rPr>
          <w:rFonts w:hint="eastAsia" w:ascii="仿宋" w:hAnsi="仿宋" w:eastAsia="仿宋"/>
          <w:b/>
          <w:color w:val="000000"/>
          <w:sz w:val="32"/>
          <w:szCs w:val="32"/>
        </w:rPr>
        <w:t>（二）“三公”经费财政拨款支出决算具体情况说明</w:t>
      </w:r>
      <w:bookmarkEnd w:id="39"/>
    </w:p>
    <w:p>
      <w:pPr>
        <w:spacing w:line="600" w:lineRule="exact"/>
        <w:ind w:firstLine="640" w:firstLineChars="20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2020年“三公”经费财政拨款支出决算中，因公出国（境）费支出决算0万元，占0%；公务用车购置及运行维护费支出决算0万元，占0%；公务接待费支出决算0万元，占0%。具体情况如下：</w:t>
      </w:r>
    </w:p>
    <w:p>
      <w:pPr>
        <w:spacing w:line="600" w:lineRule="exact"/>
        <w:ind w:firstLine="640"/>
        <w:rPr>
          <w:rStyle w:val="14"/>
          <w:rFonts w:ascii="仿宋" w:hAnsi="仿宋" w:eastAsia="仿宋" w:cstheme="minorBidi"/>
          <w:b w:val="0"/>
          <w:bCs/>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Style w:val="14"/>
          <w:rFonts w:hint="eastAsia" w:ascii="仿宋" w:hAnsi="仿宋" w:eastAsia="仿宋" w:cstheme="minorBidi"/>
          <w:b w:val="0"/>
          <w:bCs/>
          <w:color w:val="000000"/>
          <w:sz w:val="32"/>
          <w:szCs w:val="32"/>
        </w:rPr>
        <w:t>0万元，完成预算100%。全年安排因公出国（境）团组0次，出国（境）0人。因公出国（境）支出决算比2019年增加0万元，增长0%。主要原因是无此类需求。</w:t>
      </w:r>
    </w:p>
    <w:p>
      <w:pPr>
        <w:spacing w:line="600" w:lineRule="exact"/>
        <w:ind w:firstLine="640"/>
        <w:rPr>
          <w:rStyle w:val="14"/>
          <w:rFonts w:ascii="仿宋" w:hAnsi="仿宋" w:eastAsia="仿宋" w:cstheme="minorBidi"/>
          <w:b w:val="0"/>
          <w:bCs/>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Style w:val="14"/>
          <w:rFonts w:hint="eastAsia" w:ascii="仿宋" w:hAnsi="仿宋" w:eastAsia="仿宋" w:cstheme="minorBidi"/>
          <w:b w:val="0"/>
          <w:bCs/>
          <w:color w:val="000000"/>
          <w:sz w:val="32"/>
          <w:szCs w:val="32"/>
        </w:rPr>
        <w:t>0万元,完成预算100%。公务用车购置及运行维护费支出决算比2019年增加0万元，增长0%。主要原因是无此类需求。</w:t>
      </w:r>
    </w:p>
    <w:p>
      <w:pPr>
        <w:spacing w:line="600" w:lineRule="exact"/>
        <w:ind w:firstLine="642" w:firstLineChars="200"/>
        <w:rPr>
          <w:rStyle w:val="14"/>
          <w:rFonts w:ascii="仿宋" w:hAnsi="仿宋" w:eastAsia="仿宋" w:cstheme="minorBidi"/>
          <w:b w:val="0"/>
          <w:bCs/>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Style w:val="14"/>
          <w:rFonts w:hint="eastAsia" w:ascii="仿宋" w:hAnsi="仿宋" w:eastAsia="仿宋" w:cstheme="minorBidi"/>
          <w:b w:val="0"/>
          <w:bCs/>
          <w:color w:val="000000"/>
          <w:sz w:val="32"/>
          <w:szCs w:val="32"/>
        </w:rPr>
        <w:t>0万元，完成预算100%。公务接待费支出决算比2019年增加0万元，增长0%。主要原因是无此类需求。</w:t>
      </w:r>
      <w:bookmarkStart w:id="40" w:name="_Toc15396610"/>
      <w:bookmarkStart w:id="41" w:name="_Toc15377218"/>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color w:val="000000"/>
          <w:sz w:val="32"/>
          <w:szCs w:val="32"/>
        </w:rPr>
      </w:pPr>
      <w:r>
        <w:rPr>
          <w:rStyle w:val="14"/>
          <w:rFonts w:hint="eastAsia" w:ascii="仿宋" w:hAnsi="仿宋" w:eastAsia="仿宋" w:cstheme="minorBidi"/>
          <w:b w:val="0"/>
          <w:bCs/>
          <w:color w:val="000000"/>
          <w:sz w:val="32"/>
          <w:szCs w:val="32"/>
        </w:rPr>
        <w:t>2020年政府性基金预算财政拨款支出0万元。</w:t>
      </w:r>
    </w:p>
    <w:p>
      <w:pPr>
        <w:numPr>
          <w:ilvl w:val="0"/>
          <w:numId w:val="2"/>
        </w:numPr>
        <w:spacing w:line="600" w:lineRule="exact"/>
        <w:ind w:firstLine="640"/>
        <w:outlineLvl w:val="1"/>
        <w:rPr>
          <w:rStyle w:val="25"/>
          <w:rFonts w:ascii="黑体" w:hAnsi="黑体" w:eastAsia="黑体"/>
          <w:b w:val="0"/>
        </w:rPr>
      </w:pPr>
      <w:bookmarkStart w:id="42" w:name="_Toc15396611"/>
      <w:bookmarkStart w:id="43" w:name="_Toc15377219"/>
      <w:r>
        <w:rPr>
          <w:rStyle w:val="25"/>
          <w:rFonts w:hint="eastAsia" w:ascii="黑体" w:hAnsi="黑体" w:eastAsia="黑体"/>
          <w:b w:val="0"/>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rPr>
      </w:pPr>
      <w:r>
        <w:rPr>
          <w:rStyle w:val="14"/>
          <w:rFonts w:hint="eastAsia" w:ascii="仿宋" w:hAnsi="仿宋" w:eastAsia="仿宋" w:cstheme="minorBidi"/>
          <w:b w:val="0"/>
          <w:bCs/>
          <w:color w:val="000000"/>
          <w:sz w:val="32"/>
          <w:szCs w:val="32"/>
        </w:rPr>
        <w:t>2020年国有资本经营预算财政拨款支出0万元。</w:t>
      </w:r>
    </w:p>
    <w:p>
      <w:pPr>
        <w:numPr>
          <w:ilvl w:val="0"/>
          <w:numId w:val="2"/>
        </w:numPr>
        <w:spacing w:line="600" w:lineRule="exact"/>
        <w:ind w:firstLine="640"/>
        <w:outlineLvl w:val="1"/>
        <w:rPr>
          <w:rStyle w:val="25"/>
          <w:rFonts w:ascii="黑体" w:hAnsi="黑体" w:eastAsia="黑体"/>
          <w:b w:val="0"/>
        </w:rPr>
      </w:pPr>
      <w:bookmarkStart w:id="44" w:name="_Toc15396612"/>
      <w:bookmarkStart w:id="45" w:name="_Toc15377221"/>
      <w:r>
        <w:rPr>
          <w:rStyle w:val="25"/>
          <w:rFonts w:hint="eastAsia" w:ascii="黑体" w:hAnsi="黑体" w:eastAsia="黑体"/>
          <w:b w:val="0"/>
        </w:rPr>
        <w:t>其他重要事项的情况说明</w:t>
      </w:r>
      <w:bookmarkEnd w:id="44"/>
      <w:bookmarkEnd w:id="45"/>
    </w:p>
    <w:p>
      <w:pPr>
        <w:spacing w:line="600" w:lineRule="exact"/>
        <w:ind w:firstLine="640" w:firstLineChars="200"/>
        <w:outlineLvl w:val="2"/>
        <w:rPr>
          <w:rFonts w:ascii="仿宋" w:hAnsi="仿宋" w:eastAsia="仿宋"/>
          <w:color w:val="000000"/>
          <w:sz w:val="32"/>
          <w:szCs w:val="32"/>
        </w:rPr>
      </w:pPr>
      <w:bookmarkStart w:id="46" w:name="_Toc15377222"/>
      <w:r>
        <w:rPr>
          <w:rFonts w:hint="eastAsia" w:ascii="仿宋" w:hAnsi="仿宋" w:eastAsia="仿宋"/>
          <w:b/>
          <w:color w:val="000000"/>
          <w:sz w:val="32"/>
          <w:szCs w:val="32"/>
        </w:rPr>
        <w:t>（一）机关运行经费支出情况</w:t>
      </w:r>
      <w:bookmarkEnd w:id="46"/>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2020年，新媒体中心为事业单位，按规定未使用机关运行的相关科目。</w:t>
      </w:r>
    </w:p>
    <w:p>
      <w:pPr>
        <w:autoSpaceDE w:val="0"/>
        <w:autoSpaceDN w:val="0"/>
        <w:adjustRightInd w:val="0"/>
        <w:spacing w:line="600" w:lineRule="exact"/>
        <w:ind w:firstLine="640" w:firstLineChars="200"/>
        <w:jc w:val="left"/>
        <w:outlineLvl w:val="2"/>
        <w:rPr>
          <w:rFonts w:ascii="仿宋" w:hAnsi="仿宋" w:eastAsia="仿宋"/>
          <w:b/>
          <w:color w:val="000000"/>
          <w:sz w:val="32"/>
          <w:szCs w:val="32"/>
        </w:rPr>
      </w:pPr>
      <w:bookmarkStart w:id="47" w:name="_Toc15377223"/>
      <w:r>
        <w:rPr>
          <w:rFonts w:hint="eastAsia" w:ascii="仿宋" w:hAnsi="仿宋" w:eastAsia="仿宋"/>
          <w:b/>
          <w:color w:val="000000"/>
          <w:sz w:val="32"/>
          <w:szCs w:val="32"/>
        </w:rPr>
        <w:t>（二）政府采购支出情况</w:t>
      </w:r>
      <w:bookmarkEnd w:id="47"/>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2020年，无政府采购支出。</w:t>
      </w:r>
    </w:p>
    <w:p>
      <w:pPr>
        <w:autoSpaceDE w:val="0"/>
        <w:autoSpaceDN w:val="0"/>
        <w:adjustRightInd w:val="0"/>
        <w:spacing w:line="600" w:lineRule="exact"/>
        <w:ind w:firstLine="640" w:firstLineChars="200"/>
        <w:jc w:val="left"/>
        <w:outlineLvl w:val="2"/>
        <w:rPr>
          <w:rFonts w:ascii="仿宋" w:hAnsi="仿宋" w:eastAsia="仿宋"/>
          <w:b/>
          <w:color w:val="000000"/>
          <w:sz w:val="32"/>
          <w:szCs w:val="32"/>
        </w:rPr>
      </w:pPr>
      <w:bookmarkStart w:id="48" w:name="_Toc15377224"/>
      <w:r>
        <w:rPr>
          <w:rFonts w:hint="eastAsia" w:ascii="仿宋" w:hAnsi="仿宋" w:eastAsia="仿宋"/>
          <w:b/>
          <w:color w:val="000000"/>
          <w:sz w:val="32"/>
          <w:szCs w:val="32"/>
        </w:rPr>
        <w:t>（三）国有资产占有使用情况</w:t>
      </w:r>
      <w:bookmarkEnd w:id="48"/>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截至2020年12月31日，四川省青少年新媒体中心无</w:t>
      </w:r>
      <w:r>
        <w:rPr>
          <w:rStyle w:val="14"/>
          <w:rFonts w:hint="eastAsia" w:ascii="仿宋" w:hAnsi="仿宋" w:eastAsia="仿宋" w:cstheme="minorBidi"/>
          <w:b w:val="0"/>
          <w:bCs/>
          <w:color w:val="000000"/>
          <w:sz w:val="32"/>
          <w:szCs w:val="32"/>
          <w:lang w:val="en-US" w:eastAsia="zh-CN"/>
        </w:rPr>
        <w:t>车辆、无设备</w:t>
      </w:r>
      <w:r>
        <w:rPr>
          <w:rStyle w:val="14"/>
          <w:rFonts w:hint="eastAsia" w:ascii="仿宋" w:hAnsi="仿宋" w:eastAsia="仿宋" w:cstheme="minorBidi"/>
          <w:b w:val="0"/>
          <w:bCs/>
          <w:color w:val="000000"/>
          <w:sz w:val="32"/>
          <w:szCs w:val="32"/>
        </w:rPr>
        <w:t>。</w:t>
      </w:r>
    </w:p>
    <w:p>
      <w:pPr>
        <w:autoSpaceDE w:val="0"/>
        <w:autoSpaceDN w:val="0"/>
        <w:adjustRightInd w:val="0"/>
        <w:spacing w:line="600" w:lineRule="exact"/>
        <w:ind w:firstLine="640"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1.本单位2020年无项目，无需编制部门预算绩效目标。</w:t>
      </w: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2.单位绩效评价结果。</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本单位自行组织对“青年大学习”网上主题团课项目开展了绩效评价，《2021年“青年大学习”网上主题团课项目支出绩效自评报告》见附件（第四部分）。</w:t>
      </w:r>
    </w:p>
    <w:p>
      <w:pPr>
        <w:widowControl/>
        <w:jc w:val="left"/>
        <w:rPr>
          <w:rStyle w:val="14"/>
          <w:rFonts w:ascii="仿宋" w:hAnsi="仿宋" w:eastAsia="仿宋" w:cstheme="minorBidi"/>
          <w:b w:val="0"/>
          <w:bCs/>
          <w:color w:val="000000"/>
          <w:kern w:val="0"/>
          <w:sz w:val="32"/>
          <w:szCs w:val="32"/>
        </w:rPr>
      </w:pPr>
      <w:bookmarkStart w:id="49" w:name="_Toc15377225"/>
      <w:bookmarkStart w:id="50" w:name="_Toc15396613"/>
      <w:r>
        <w:rPr>
          <w:rStyle w:val="14"/>
          <w:rFonts w:ascii="仿宋" w:hAnsi="仿宋" w:eastAsia="仿宋" w:cstheme="minorBidi"/>
          <w:b w:val="0"/>
          <w:bCs/>
          <w:color w:val="000000"/>
          <w:kern w:val="0"/>
          <w:sz w:val="32"/>
          <w:szCs w:val="32"/>
        </w:rPr>
        <w:br w:type="page"/>
      </w:r>
    </w:p>
    <w:p>
      <w:pPr>
        <w:numPr>
          <w:ilvl w:val="0"/>
          <w:numId w:val="3"/>
        </w:numPr>
        <w:spacing w:line="600" w:lineRule="exact"/>
        <w:ind w:firstLine="660" w:firstLineChars="150"/>
        <w:jc w:val="center"/>
        <w:outlineLvl w:val="0"/>
        <w:rPr>
          <w:rStyle w:val="24"/>
          <w:rFonts w:ascii="黑体" w:hAnsi="黑体" w:eastAsia="黑体"/>
          <w:b w:val="0"/>
        </w:rPr>
      </w:pPr>
      <w:r>
        <w:rPr>
          <w:rFonts w:hint="eastAsia" w:ascii="黑体" w:hAnsi="黑体" w:eastAsia="黑体"/>
          <w:color w:val="000000"/>
          <w:sz w:val="44"/>
          <w:szCs w:val="44"/>
        </w:rPr>
        <w:t>名</w:t>
      </w:r>
      <w:r>
        <w:rPr>
          <w:rStyle w:val="24"/>
          <w:rFonts w:hint="eastAsia" w:ascii="黑体" w:hAnsi="黑体" w:eastAsia="黑体"/>
          <w:b w:val="0"/>
        </w:rPr>
        <w:t>词解释</w:t>
      </w:r>
      <w:bookmarkEnd w:id="49"/>
      <w:bookmarkEnd w:id="50"/>
    </w:p>
    <w:p>
      <w:pPr>
        <w:spacing w:line="600" w:lineRule="exact"/>
        <w:jc w:val="left"/>
        <w:rPr>
          <w:rFonts w:ascii="宋体"/>
          <w:b/>
          <w:color w:val="000000"/>
          <w:sz w:val="44"/>
          <w:szCs w:val="44"/>
        </w:rPr>
      </w:pP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1.财政拨款收入：指单位从同级财政部门取得的财政预算资金。</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2.事业收入：指事业单位开展专业业务活动及辅助活动取得的收入。</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3.经营收入：指事业单位在专业业务活动及其辅助活动之外开展非独立核算经营活动取得的收入。</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 xml:space="preserve">4.其他收入：指单位取得的除上述收入以外的各项收入。 </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 xml:space="preserve">5.使用非财政拨款结余：指事业单位使用以前年度积累的非财政拨款结余弥补当年收支差额的金额。 </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 xml:space="preserve">6.年初结转和结余：指以前年度尚未完成、结转到本年按有关规定继续使用的资金。 </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7.结余分配：指事业单位按照会计制度规定缴纳的所得税、提取的专用结余以及转入非财政拨款结余的金额等。</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8、年末结转和结余：指单位按有关规定结转到下年或以后年度继续使用的资金。</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9.一般公共服务（类）群众团体事务（款）事业运行（项）：指反映事业单位的基本支出。</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10.社会保障和就业（类）行政事业单位养老（款）机关事业单位基本养老保险缴费（项）：指反映机关事业单位实施养老保险制度由单位缴纳的基本养老保险费支出。</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11.社会保障和就业（类）行政事业单位养老（款）机关事业单位职业年金缴费（项）：指反映机关事业单位实施养老保险制度由单位实际缴纳的职业年金支出。</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12.卫生健康支出（类）行政事业单位医疗（款）事业单位医疗（项）：指反映财政部门集中安排的事业单位基本医疗保险缴费经费。</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13.住房保障（类）住房改革（款）住房公积金（项）：指反映行政事业单位按人力资源和社会保障部、财政部规定的基本工资和津贴补贴以及规定比例为职工缴纳的住房公积金。</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13.基本支出：指为保障机构正常运转、完成日常工作任务而发生的人员支出和公用支出。</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 xml:space="preserve">14.项目支出：指在基本支出之外为完成特定行政任务和事业发展目标所发生的支出。 </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15.经营支出：指事业单位在专业业务活动及其辅助活动之外开展非独立核算经营活动发生的支出。</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16.“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17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rPr>
      </w:pPr>
      <w:bookmarkStart w:id="51" w:name="_Toc15377226"/>
      <w:r>
        <w:rPr>
          <w:rFonts w:ascii="宋体"/>
          <w:b/>
          <w:color w:val="000000"/>
          <w:sz w:val="44"/>
          <w:szCs w:val="44"/>
        </w:rPr>
        <w:br w:type="page"/>
      </w:r>
      <w:bookmarkStart w:id="52"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2"/>
    </w:p>
    <w:p>
      <w:pPr>
        <w:spacing w:line="580" w:lineRule="exact"/>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themeColor="text1"/>
          <w:kern w:val="0"/>
          <w:sz w:val="44"/>
          <w:szCs w:val="44"/>
          <w:lang w:val="zh-CN"/>
          <w14:textFill>
            <w14:solidFill>
              <w14:schemeClr w14:val="tx1"/>
            </w14:solidFill>
          </w14:textFill>
        </w:rPr>
      </w:pPr>
      <w:r>
        <w:rPr>
          <w:rFonts w:hint="eastAsia" w:ascii="方正小标宋简体" w:hAnsi="宋体" w:eastAsia="方正小标宋简体"/>
          <w:color w:val="000000" w:themeColor="text1"/>
          <w:kern w:val="0"/>
          <w:sz w:val="44"/>
          <w:szCs w:val="44"/>
          <w:lang w:val="zh-CN"/>
          <w14:textFill>
            <w14:solidFill>
              <w14:schemeClr w14:val="tx1"/>
            </w14:solidFill>
          </w14:textFill>
        </w:rPr>
        <w:t>2021年</w:t>
      </w:r>
      <w:r>
        <w:rPr>
          <w:rFonts w:hint="eastAsia" w:ascii="方正小标宋简体" w:hAnsi="宋体" w:eastAsia="方正小标宋简体"/>
          <w:color w:val="000000" w:themeColor="text1"/>
          <w:kern w:val="0"/>
          <w:sz w:val="44"/>
          <w:szCs w:val="44"/>
          <w14:textFill>
            <w14:solidFill>
              <w14:schemeClr w14:val="tx1"/>
            </w14:solidFill>
          </w14:textFill>
        </w:rPr>
        <w:t>青年大学习网上主题团课</w:t>
      </w:r>
      <w:r>
        <w:rPr>
          <w:rFonts w:hint="eastAsia" w:ascii="方正小标宋简体" w:hAnsi="宋体" w:eastAsia="方正小标宋简体"/>
          <w:color w:val="000000" w:themeColor="text1"/>
          <w:kern w:val="0"/>
          <w:sz w:val="44"/>
          <w:szCs w:val="44"/>
          <w:lang w:val="zh-CN"/>
          <w14:textFill>
            <w14:solidFill>
              <w14:schemeClr w14:val="tx1"/>
            </w14:solidFill>
          </w14:textFill>
        </w:rPr>
        <w:t>项目支出绩效自评报告</w:t>
      </w:r>
    </w:p>
    <w:p>
      <w:pPr>
        <w:spacing w:line="600" w:lineRule="exact"/>
        <w:ind w:firstLine="640"/>
        <w:jc w:val="center"/>
        <w:rPr>
          <w:rFonts w:ascii="宋体" w:hAnsi="宋体"/>
          <w:color w:val="FF0000"/>
          <w:sz w:val="32"/>
          <w:szCs w:val="32"/>
          <w:lang w:val="zh-CN"/>
        </w:rPr>
      </w:pPr>
    </w:p>
    <w:p>
      <w:pPr>
        <w:adjustRightInd w:val="0"/>
        <w:snapToGrid w:val="0"/>
        <w:spacing w:line="600" w:lineRule="exact"/>
        <w:ind w:firstLine="720"/>
        <w:rPr>
          <w:rFonts w:ascii="黑体" w:hAnsi="宋体" w:eastAsia="黑体"/>
          <w:color w:val="000000" w:themeColor="text1"/>
          <w:sz w:val="32"/>
          <w:szCs w:val="32"/>
          <w:lang w:val="zh-CN"/>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一、</w:t>
      </w:r>
      <w:r>
        <w:rPr>
          <w:rFonts w:hint="eastAsia" w:ascii="黑体" w:hAnsi="宋体" w:eastAsia="黑体"/>
          <w:color w:val="000000" w:themeColor="text1"/>
          <w:sz w:val="32"/>
          <w:szCs w:val="32"/>
          <w:lang w:val="zh-CN"/>
          <w14:textFill>
            <w14:solidFill>
              <w14:schemeClr w14:val="tx1"/>
            </w14:solidFill>
          </w14:textFill>
        </w:rPr>
        <w:t>项目概况</w:t>
      </w:r>
    </w:p>
    <w:p>
      <w:pPr>
        <w:spacing w:line="600" w:lineRule="exact"/>
        <w:ind w:firstLine="640"/>
        <w:rPr>
          <w:rStyle w:val="14"/>
          <w:rFonts w:ascii="仿宋" w:hAnsi="仿宋" w:eastAsia="仿宋" w:cstheme="minorBidi"/>
          <w:b w:val="0"/>
          <w:bCs/>
          <w:color w:val="000000"/>
          <w:sz w:val="32"/>
          <w:szCs w:val="32"/>
          <w:lang w:val="zh-CN"/>
        </w:rPr>
      </w:pPr>
      <w:r>
        <w:rPr>
          <w:rStyle w:val="14"/>
          <w:rFonts w:hint="eastAsia" w:ascii="仿宋" w:hAnsi="仿宋" w:eastAsia="仿宋" w:cstheme="minorBidi"/>
          <w:b w:val="0"/>
          <w:bCs/>
          <w:color w:val="000000"/>
          <w:sz w:val="32"/>
          <w:szCs w:val="32"/>
          <w:lang w:val="zh-CN"/>
        </w:rPr>
        <w:t>介绍项目基本情况，重点说明以下内容：</w:t>
      </w:r>
    </w:p>
    <w:p>
      <w:pPr>
        <w:numPr>
          <w:ilvl w:val="0"/>
          <w:numId w:val="4"/>
        </w:numPr>
        <w:adjustRightInd w:val="0"/>
        <w:snapToGrid w:val="0"/>
        <w:spacing w:line="600" w:lineRule="exact"/>
        <w:ind w:firstLine="720"/>
        <w:rPr>
          <w:rStyle w:val="14"/>
          <w:rFonts w:ascii="仿宋" w:hAnsi="仿宋" w:eastAsia="仿宋" w:cstheme="minorBidi"/>
          <w:b w:val="0"/>
          <w:bCs/>
          <w:color w:val="000000"/>
          <w:sz w:val="32"/>
          <w:szCs w:val="32"/>
          <w:lang w:val="zh-CN"/>
        </w:rPr>
      </w:pPr>
      <w:r>
        <w:rPr>
          <w:rFonts w:hint="eastAsia" w:ascii="楷体_GB2312" w:hAnsi="宋体" w:eastAsia="楷体_GB2312"/>
          <w:b/>
          <w:color w:val="000000" w:themeColor="text1"/>
          <w:sz w:val="32"/>
          <w:szCs w:val="32"/>
          <w:lang w:val="zh-CN"/>
          <w14:textFill>
            <w14:solidFill>
              <w14:schemeClr w14:val="tx1"/>
            </w14:solidFill>
          </w14:textFill>
        </w:rPr>
        <w:t>项目资金申报及批复情况。</w:t>
      </w:r>
      <w:r>
        <w:rPr>
          <w:rStyle w:val="14"/>
          <w:rFonts w:hint="eastAsia" w:ascii="仿宋" w:hAnsi="仿宋" w:eastAsia="仿宋" w:cstheme="minorBidi"/>
          <w:b w:val="0"/>
          <w:bCs/>
          <w:color w:val="000000"/>
          <w:sz w:val="32"/>
          <w:szCs w:val="32"/>
        </w:rPr>
        <w:t>青年大学习申报预算资金30万元，财政批复30万元</w:t>
      </w:r>
      <w:r>
        <w:rPr>
          <w:rStyle w:val="14"/>
          <w:rFonts w:hint="eastAsia" w:ascii="仿宋" w:hAnsi="仿宋" w:eastAsia="仿宋" w:cstheme="minorBidi"/>
          <w:b w:val="0"/>
          <w:bCs/>
          <w:color w:val="000000"/>
          <w:sz w:val="32"/>
          <w:szCs w:val="32"/>
          <w:lang w:val="zh-CN"/>
        </w:rPr>
        <w:t>，</w:t>
      </w:r>
      <w:r>
        <w:rPr>
          <w:rStyle w:val="14"/>
          <w:rFonts w:hint="eastAsia" w:ascii="仿宋" w:hAnsi="仿宋" w:eastAsia="仿宋" w:cstheme="minorBidi"/>
          <w:b w:val="0"/>
          <w:bCs/>
          <w:color w:val="000000"/>
          <w:sz w:val="32"/>
          <w:szCs w:val="32"/>
        </w:rPr>
        <w:t>该项目</w:t>
      </w:r>
      <w:r>
        <w:rPr>
          <w:rStyle w:val="14"/>
          <w:rFonts w:hint="eastAsia" w:ascii="仿宋" w:hAnsi="仿宋" w:eastAsia="仿宋" w:cstheme="minorBidi"/>
          <w:b w:val="0"/>
          <w:bCs/>
          <w:color w:val="000000"/>
          <w:sz w:val="32"/>
          <w:szCs w:val="32"/>
          <w:lang w:val="zh-CN"/>
        </w:rPr>
        <w:t>符合资金管理办法等相关规定。</w:t>
      </w:r>
    </w:p>
    <w:p>
      <w:pPr>
        <w:spacing w:line="560" w:lineRule="exact"/>
        <w:ind w:left="159" w:leftChars="76" w:firstLine="481" w:firstLineChars="150"/>
        <w:rPr>
          <w:rStyle w:val="14"/>
          <w:rFonts w:ascii="仿宋" w:hAnsi="仿宋" w:eastAsia="仿宋" w:cstheme="minorBidi"/>
          <w:b w:val="0"/>
          <w:bCs/>
          <w:color w:val="000000"/>
          <w:sz w:val="32"/>
          <w:szCs w:val="32"/>
          <w:lang w:val="zh-CN"/>
        </w:rPr>
      </w:pPr>
      <w:r>
        <w:rPr>
          <w:rFonts w:hint="eastAsia" w:ascii="楷体_GB2312" w:hAnsi="宋体" w:eastAsia="楷体_GB2312"/>
          <w:b/>
          <w:color w:val="000000" w:themeColor="text1"/>
          <w:sz w:val="32"/>
          <w:szCs w:val="32"/>
          <w:lang w:val="zh-CN"/>
          <w14:textFill>
            <w14:solidFill>
              <w14:schemeClr w14:val="tx1"/>
            </w14:solidFill>
          </w14:textFill>
        </w:rPr>
        <w:t>（二）项目绩效目标。</w:t>
      </w:r>
      <w:r>
        <w:rPr>
          <w:rStyle w:val="14"/>
          <w:rFonts w:hint="eastAsia" w:ascii="仿宋" w:hAnsi="仿宋" w:eastAsia="仿宋" w:cstheme="minorBidi"/>
          <w:b w:val="0"/>
          <w:bCs/>
          <w:color w:val="000000"/>
          <w:sz w:val="32"/>
          <w:szCs w:val="32"/>
          <w:lang w:val="zh-CN"/>
        </w:rPr>
        <w:t>全面推进“青年大学习”网上主题团课工作，强化思想政治引领，强化青年理论武装，营造起全省青年大学习比、学、赶、超的良好氛围。实现每周常态化超过280万团员青年参与打卡学习，起到很好的学习宣传效果。</w:t>
      </w:r>
    </w:p>
    <w:p>
      <w:pPr>
        <w:adjustRightInd w:val="0"/>
        <w:snapToGrid w:val="0"/>
        <w:spacing w:line="600" w:lineRule="exact"/>
        <w:ind w:firstLine="720"/>
        <w:rPr>
          <w:rStyle w:val="14"/>
          <w:rFonts w:ascii="仿宋" w:hAnsi="仿宋" w:eastAsia="仿宋" w:cstheme="minorBidi"/>
          <w:b w:val="0"/>
          <w:bCs/>
          <w:color w:val="000000"/>
          <w:sz w:val="32"/>
          <w:szCs w:val="32"/>
          <w:lang w:val="zh-CN"/>
        </w:rPr>
      </w:pPr>
      <w:r>
        <w:rPr>
          <w:rFonts w:hint="eastAsia" w:ascii="楷体_GB2312" w:hAnsi="宋体" w:eastAsia="楷体_GB2312"/>
          <w:b/>
          <w:color w:val="000000" w:themeColor="text1"/>
          <w:sz w:val="32"/>
          <w:szCs w:val="32"/>
          <w:lang w:val="zh-CN"/>
          <w14:textFill>
            <w14:solidFill>
              <w14:schemeClr w14:val="tx1"/>
            </w14:solidFill>
          </w14:textFill>
        </w:rPr>
        <w:t>（三）项目资金申报相符性。</w:t>
      </w:r>
      <w:r>
        <w:rPr>
          <w:rStyle w:val="14"/>
          <w:rFonts w:hint="eastAsia" w:ascii="仿宋" w:hAnsi="仿宋" w:eastAsia="仿宋" w:cstheme="minorBidi"/>
          <w:b w:val="0"/>
          <w:bCs/>
          <w:color w:val="000000"/>
          <w:sz w:val="32"/>
          <w:szCs w:val="32"/>
          <w:lang w:val="zh-CN"/>
        </w:rPr>
        <w:t>项目申报内容与具体实施内容相符、申报目标合理可行。</w:t>
      </w:r>
    </w:p>
    <w:p>
      <w:pPr>
        <w:adjustRightInd w:val="0"/>
        <w:snapToGrid w:val="0"/>
        <w:spacing w:line="600" w:lineRule="exact"/>
        <w:ind w:firstLine="720"/>
        <w:rPr>
          <w:rFonts w:ascii="黑体" w:hAnsi="宋体" w:eastAsia="黑体"/>
          <w:color w:val="000000" w:themeColor="text1"/>
          <w:sz w:val="32"/>
          <w:szCs w:val="32"/>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二、项目实施及管理情况</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仿宋_GB2312" w:hAnsi="宋体" w:eastAsia="仿宋_GB2312"/>
          <w:color w:val="000000" w:themeColor="text1"/>
          <w:sz w:val="32"/>
          <w:szCs w:val="32"/>
          <w:lang w:val="zh-CN"/>
          <w14:textFill>
            <w14:solidFill>
              <w14:schemeClr w14:val="tx1"/>
            </w14:solidFill>
          </w14:textFill>
        </w:rPr>
        <w:tab/>
      </w:r>
      <w:r>
        <w:rPr>
          <w:rFonts w:hint="eastAsia" w:ascii="楷体_GB2312" w:hAnsi="宋体" w:eastAsia="楷体_GB2312"/>
          <w:b/>
          <w:color w:val="000000" w:themeColor="text1"/>
          <w:sz w:val="32"/>
          <w:szCs w:val="32"/>
          <w:lang w:val="zh-CN"/>
          <w14:textFill>
            <w14:solidFill>
              <w14:schemeClr w14:val="tx1"/>
            </w14:solidFill>
          </w14:textFill>
        </w:rPr>
        <w:t>（一）资金计划、到位及使用情况。</w:t>
      </w:r>
    </w:p>
    <w:p>
      <w:pPr>
        <w:adjustRightInd w:val="0"/>
        <w:snapToGrid w:val="0"/>
        <w:spacing w:line="600" w:lineRule="exact"/>
        <w:ind w:firstLine="720"/>
        <w:rPr>
          <w:rStyle w:val="14"/>
          <w:rFonts w:ascii="仿宋" w:hAnsi="仿宋" w:eastAsia="仿宋" w:cstheme="minorBidi"/>
          <w:b w:val="0"/>
          <w:bCs/>
          <w:color w:val="000000"/>
          <w:sz w:val="32"/>
          <w:szCs w:val="32"/>
        </w:rPr>
      </w:pPr>
      <w:r>
        <w:rPr>
          <w:rFonts w:hint="eastAsia" w:ascii="楷体_GB2312" w:hAnsi="宋体" w:eastAsia="楷体_GB2312"/>
          <w:color w:val="000000" w:themeColor="text1"/>
          <w:sz w:val="32"/>
          <w:szCs w:val="32"/>
          <w:lang w:val="zh-CN"/>
          <w14:textFill>
            <w14:solidFill>
              <w14:schemeClr w14:val="tx1"/>
            </w14:solidFill>
          </w14:textFill>
        </w:rPr>
        <w:t>1．资金计划及到位。</w:t>
      </w:r>
      <w:r>
        <w:rPr>
          <w:rStyle w:val="14"/>
          <w:rFonts w:hint="eastAsia" w:ascii="仿宋" w:hAnsi="仿宋" w:eastAsia="仿宋" w:cstheme="minorBidi"/>
          <w:b w:val="0"/>
          <w:bCs/>
          <w:color w:val="000000"/>
          <w:sz w:val="32"/>
          <w:szCs w:val="32"/>
          <w:lang w:val="zh-CN"/>
        </w:rPr>
        <w:t>截止</w:t>
      </w:r>
      <w:r>
        <w:rPr>
          <w:rStyle w:val="14"/>
          <w:rFonts w:hint="eastAsia" w:ascii="仿宋" w:hAnsi="仿宋" w:eastAsia="仿宋" w:cstheme="minorBidi"/>
          <w:b w:val="0"/>
          <w:bCs/>
          <w:color w:val="000000"/>
          <w:sz w:val="32"/>
          <w:szCs w:val="32"/>
        </w:rPr>
        <w:t>目前</w:t>
      </w:r>
      <w:r>
        <w:rPr>
          <w:rStyle w:val="14"/>
          <w:rFonts w:hint="eastAsia" w:ascii="仿宋" w:hAnsi="仿宋" w:eastAsia="仿宋" w:cstheme="minorBidi"/>
          <w:b w:val="0"/>
          <w:bCs/>
          <w:color w:val="000000"/>
          <w:sz w:val="32"/>
          <w:szCs w:val="32"/>
          <w:lang w:val="zh-CN"/>
        </w:rPr>
        <w:t>，省财政资金</w:t>
      </w:r>
      <w:r>
        <w:rPr>
          <w:rStyle w:val="14"/>
          <w:rFonts w:hint="eastAsia" w:ascii="仿宋" w:hAnsi="仿宋" w:eastAsia="仿宋" w:cstheme="minorBidi"/>
          <w:b w:val="0"/>
          <w:bCs/>
          <w:color w:val="000000"/>
          <w:sz w:val="32"/>
          <w:szCs w:val="32"/>
        </w:rPr>
        <w:t>到位率100%， 到位及时性高。</w:t>
      </w:r>
    </w:p>
    <w:p>
      <w:pPr>
        <w:adjustRightInd w:val="0"/>
        <w:snapToGrid w:val="0"/>
        <w:spacing w:line="600" w:lineRule="exact"/>
        <w:ind w:firstLine="720"/>
        <w:rPr>
          <w:rStyle w:val="14"/>
          <w:rFonts w:ascii="仿宋" w:hAnsi="仿宋" w:eastAsia="仿宋" w:cstheme="minorBidi"/>
          <w:b w:val="0"/>
          <w:bCs/>
          <w:color w:val="000000"/>
          <w:sz w:val="32"/>
          <w:szCs w:val="32"/>
          <w:lang w:val="zh-CN"/>
        </w:rPr>
      </w:pPr>
      <w:r>
        <w:rPr>
          <w:rFonts w:hint="eastAsia" w:ascii="楷体_GB2312" w:hAnsi="宋体" w:eastAsia="楷体_GB2312"/>
          <w:color w:val="000000" w:themeColor="text1"/>
          <w:sz w:val="32"/>
          <w:szCs w:val="32"/>
          <w:lang w:val="zh-CN"/>
          <w14:textFill>
            <w14:solidFill>
              <w14:schemeClr w14:val="tx1"/>
            </w14:solidFill>
          </w14:textFill>
        </w:rPr>
        <w:t>2．资金使用。</w:t>
      </w:r>
      <w:r>
        <w:rPr>
          <w:rStyle w:val="14"/>
          <w:rFonts w:hint="eastAsia" w:ascii="仿宋" w:hAnsi="仿宋" w:eastAsia="仿宋" w:cstheme="minorBidi"/>
          <w:b w:val="0"/>
          <w:bCs/>
          <w:color w:val="000000"/>
          <w:sz w:val="32"/>
          <w:szCs w:val="32"/>
          <w:lang w:val="zh-CN"/>
        </w:rPr>
        <w:t>截止</w:t>
      </w:r>
      <w:r>
        <w:rPr>
          <w:rStyle w:val="14"/>
          <w:rFonts w:hint="eastAsia" w:ascii="仿宋" w:hAnsi="仿宋" w:eastAsia="仿宋" w:cstheme="minorBidi"/>
          <w:b w:val="0"/>
          <w:bCs/>
          <w:color w:val="000000"/>
          <w:sz w:val="32"/>
          <w:szCs w:val="32"/>
        </w:rPr>
        <w:t>目前该</w:t>
      </w:r>
      <w:r>
        <w:rPr>
          <w:rStyle w:val="14"/>
          <w:rFonts w:hint="eastAsia" w:ascii="仿宋" w:hAnsi="仿宋" w:eastAsia="仿宋" w:cstheme="minorBidi"/>
          <w:b w:val="0"/>
          <w:bCs/>
          <w:color w:val="000000"/>
          <w:sz w:val="32"/>
          <w:szCs w:val="32"/>
          <w:lang w:val="zh-CN"/>
        </w:rPr>
        <w:t>项目资金实际支出</w:t>
      </w:r>
      <w:r>
        <w:rPr>
          <w:rStyle w:val="14"/>
          <w:rFonts w:hint="eastAsia" w:ascii="仿宋" w:hAnsi="仿宋" w:eastAsia="仿宋" w:cstheme="minorBidi"/>
          <w:b w:val="0"/>
          <w:bCs/>
          <w:color w:val="000000"/>
          <w:sz w:val="32"/>
          <w:szCs w:val="32"/>
        </w:rPr>
        <w:t>14万</w:t>
      </w:r>
      <w:r>
        <w:rPr>
          <w:rStyle w:val="14"/>
          <w:rFonts w:hint="eastAsia" w:ascii="仿宋" w:hAnsi="仿宋" w:eastAsia="仿宋" w:cstheme="minorBidi"/>
          <w:b w:val="0"/>
          <w:bCs/>
          <w:color w:val="000000"/>
          <w:sz w:val="32"/>
          <w:szCs w:val="32"/>
          <w:lang w:val="zh-CN"/>
        </w:rPr>
        <w:t>，</w:t>
      </w:r>
      <w:r>
        <w:rPr>
          <w:rStyle w:val="14"/>
          <w:rFonts w:hint="eastAsia" w:ascii="仿宋" w:hAnsi="仿宋" w:eastAsia="仿宋" w:cstheme="minorBidi"/>
          <w:b w:val="0"/>
          <w:bCs/>
          <w:color w:val="000000"/>
          <w:sz w:val="32"/>
          <w:szCs w:val="32"/>
        </w:rPr>
        <w:t>用于支付前两期的拍摄，按照每期拍摄不超过8万元的标准来执行，每期拍摄完毕验收合格后才给于支付资金</w:t>
      </w:r>
      <w:r>
        <w:rPr>
          <w:rStyle w:val="14"/>
          <w:rFonts w:hint="eastAsia" w:ascii="仿宋" w:hAnsi="仿宋" w:eastAsia="仿宋" w:cstheme="minorBidi"/>
          <w:b w:val="0"/>
          <w:bCs/>
          <w:color w:val="000000"/>
          <w:sz w:val="32"/>
          <w:szCs w:val="32"/>
          <w:lang w:val="zh-CN"/>
        </w:rPr>
        <w:t>，支付依据合规合法，资金支付与预算相符。</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（二）项目财务管理情况。</w:t>
      </w:r>
    </w:p>
    <w:p>
      <w:pPr>
        <w:adjustRightInd w:val="0"/>
        <w:snapToGrid w:val="0"/>
        <w:spacing w:line="600" w:lineRule="exact"/>
        <w:ind w:firstLine="72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根据项目实际发生的经济业务事项按规定进行会计核算，填制会计凭证，登记会计账簿，并建立单位内部会计监督制度；不得伪造、编造会计凭证、会计账簿，不得隐匿或者故意销毁依法应当保存的会计凭证、会计账簿。</w:t>
      </w:r>
      <w:r>
        <w:rPr>
          <w:rStyle w:val="14"/>
          <w:rFonts w:hint="eastAsia" w:ascii="仿宋" w:hAnsi="仿宋" w:eastAsia="仿宋" w:cstheme="minorBidi"/>
          <w:b w:val="0"/>
          <w:bCs/>
          <w:color w:val="000000"/>
          <w:sz w:val="32"/>
          <w:szCs w:val="32"/>
          <w:lang w:val="zh-CN"/>
        </w:rPr>
        <w:t>对照项目资金管理办法，</w:t>
      </w:r>
      <w:r>
        <w:rPr>
          <w:rStyle w:val="14"/>
          <w:rFonts w:hint="eastAsia" w:ascii="仿宋" w:hAnsi="仿宋" w:eastAsia="仿宋" w:cstheme="minorBidi"/>
          <w:b w:val="0"/>
          <w:bCs/>
          <w:color w:val="000000"/>
          <w:sz w:val="32"/>
          <w:szCs w:val="32"/>
        </w:rPr>
        <w:t>该</w:t>
      </w:r>
      <w:r>
        <w:rPr>
          <w:rStyle w:val="14"/>
          <w:rFonts w:hint="eastAsia" w:ascii="仿宋" w:hAnsi="仿宋" w:eastAsia="仿宋" w:cstheme="minorBidi"/>
          <w:b w:val="0"/>
          <w:bCs/>
          <w:color w:val="000000"/>
          <w:sz w:val="32"/>
          <w:szCs w:val="32"/>
          <w:lang w:val="zh-CN"/>
        </w:rPr>
        <w:t>项目严格执行财务管理制度、财务处理及时、会计核算规范。</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（三）项目组织实施情况。</w:t>
      </w:r>
    </w:p>
    <w:p>
      <w:pPr>
        <w:adjustRightInd w:val="0"/>
        <w:snapToGrid w:val="0"/>
        <w:spacing w:line="600" w:lineRule="exact"/>
        <w:ind w:firstLine="72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lang w:val="zh-CN"/>
        </w:rPr>
        <w:t>“</w:t>
      </w:r>
      <w:r>
        <w:rPr>
          <w:rStyle w:val="14"/>
          <w:rFonts w:hint="eastAsia" w:ascii="仿宋" w:hAnsi="仿宋" w:eastAsia="仿宋" w:cstheme="minorBidi"/>
          <w:b w:val="0"/>
          <w:bCs/>
          <w:color w:val="000000"/>
          <w:sz w:val="32"/>
          <w:szCs w:val="32"/>
        </w:rPr>
        <w:t>青年大学习</w:t>
      </w:r>
      <w:r>
        <w:rPr>
          <w:rStyle w:val="14"/>
          <w:rFonts w:hint="eastAsia" w:ascii="仿宋" w:hAnsi="仿宋" w:eastAsia="仿宋" w:cstheme="minorBidi"/>
          <w:b w:val="0"/>
          <w:bCs/>
          <w:color w:val="000000"/>
          <w:sz w:val="32"/>
          <w:szCs w:val="32"/>
          <w:lang w:val="zh-CN"/>
        </w:rPr>
        <w:t>”</w:t>
      </w:r>
      <w:r>
        <w:rPr>
          <w:rStyle w:val="14"/>
          <w:rFonts w:hint="eastAsia" w:ascii="仿宋" w:hAnsi="仿宋" w:eastAsia="仿宋" w:cstheme="minorBidi"/>
          <w:b w:val="0"/>
          <w:bCs/>
          <w:color w:val="000000"/>
          <w:sz w:val="32"/>
          <w:szCs w:val="32"/>
        </w:rPr>
        <w:t>网上主题团课拍摄项目由项目负责人、执行人、纪检负责同志组成询价小组，先进行询价，将询价情况报领导班子开会研究决定，再拟订合同报领导审定，最后与公司签订合同。待项目实施完毕，将成品验收合格后，履行报账程序。</w:t>
      </w:r>
    </w:p>
    <w:p>
      <w:pPr>
        <w:adjustRightInd w:val="0"/>
        <w:snapToGrid w:val="0"/>
        <w:spacing w:line="600" w:lineRule="exact"/>
        <w:ind w:firstLine="720"/>
        <w:rPr>
          <w:rFonts w:ascii="仿宋_GB2312" w:hAnsi="宋体" w:eastAsia="仿宋_GB2312"/>
          <w:color w:val="000000" w:themeColor="text1"/>
          <w:sz w:val="32"/>
          <w:szCs w:val="32"/>
          <w:lang w:val="zh-CN"/>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三、项目绩效情况</w:t>
      </w:r>
      <w:r>
        <w:rPr>
          <w:rFonts w:hint="eastAsia" w:ascii="仿宋_GB2312" w:hAnsi="宋体" w:eastAsia="仿宋_GB2312"/>
          <w:color w:val="000000" w:themeColor="text1"/>
          <w:sz w:val="32"/>
          <w:szCs w:val="32"/>
          <w:lang w:val="zh-CN"/>
          <w14:textFill>
            <w14:solidFill>
              <w14:schemeClr w14:val="tx1"/>
            </w14:solidFill>
          </w14:textFill>
        </w:rPr>
        <w:tab/>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（一）项目完成情况。</w:t>
      </w:r>
    </w:p>
    <w:p>
      <w:pPr>
        <w:adjustRightInd w:val="0"/>
        <w:snapToGrid w:val="0"/>
        <w:spacing w:line="600" w:lineRule="exact"/>
        <w:ind w:firstLine="72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青年大学习4期拍摄任务已完成2期，已交付团中央使用。已达到预期的学习效果。</w:t>
      </w:r>
    </w:p>
    <w:p>
      <w:pPr>
        <w:spacing w:line="560" w:lineRule="exact"/>
        <w:ind w:left="159" w:leftChars="76" w:firstLine="481" w:firstLineChars="15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（二）项目效益情况。</w:t>
      </w:r>
    </w:p>
    <w:p>
      <w:pPr>
        <w:adjustRightInd w:val="0"/>
        <w:snapToGrid w:val="0"/>
        <w:spacing w:line="600" w:lineRule="exact"/>
        <w:ind w:firstLine="72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自2018年以来，团中央在全团广泛开展“青年大学习”行动，推出</w:t>
      </w:r>
      <w:r>
        <w:rPr>
          <w:rStyle w:val="14"/>
          <w:rFonts w:ascii="仿宋" w:hAnsi="仿宋" w:eastAsia="仿宋" w:cstheme="minorBidi"/>
          <w:b w:val="0"/>
          <w:bCs/>
          <w:color w:val="000000"/>
          <w:sz w:val="32"/>
          <w:szCs w:val="32"/>
        </w:rPr>
        <w:t>“</w:t>
      </w:r>
      <w:r>
        <w:rPr>
          <w:rStyle w:val="14"/>
          <w:rFonts w:hint="eastAsia" w:ascii="仿宋" w:hAnsi="仿宋" w:eastAsia="仿宋" w:cstheme="minorBidi"/>
          <w:b w:val="0"/>
          <w:bCs/>
          <w:color w:val="000000"/>
          <w:sz w:val="32"/>
          <w:szCs w:val="32"/>
        </w:rPr>
        <w:t>青年大学习</w:t>
      </w:r>
      <w:r>
        <w:rPr>
          <w:rStyle w:val="14"/>
          <w:rFonts w:ascii="仿宋" w:hAnsi="仿宋" w:eastAsia="仿宋" w:cstheme="minorBidi"/>
          <w:b w:val="0"/>
          <w:bCs/>
          <w:color w:val="000000"/>
          <w:sz w:val="32"/>
          <w:szCs w:val="32"/>
        </w:rPr>
        <w:t>”</w:t>
      </w:r>
      <w:r>
        <w:rPr>
          <w:rStyle w:val="14"/>
          <w:rFonts w:hint="eastAsia" w:ascii="仿宋" w:hAnsi="仿宋" w:eastAsia="仿宋" w:cstheme="minorBidi"/>
          <w:b w:val="0"/>
          <w:bCs/>
          <w:color w:val="000000"/>
          <w:sz w:val="32"/>
          <w:szCs w:val="32"/>
        </w:rPr>
        <w:t>网上主题团课学习，面向广大团员青年开展</w:t>
      </w:r>
      <w:r>
        <w:rPr>
          <w:rStyle w:val="14"/>
          <w:rFonts w:ascii="仿宋" w:hAnsi="仿宋" w:eastAsia="仿宋" w:cstheme="minorBidi"/>
          <w:b w:val="0"/>
          <w:bCs/>
          <w:color w:val="000000"/>
          <w:sz w:val="32"/>
          <w:szCs w:val="32"/>
        </w:rPr>
        <w:t>“</w:t>
      </w:r>
      <w:r>
        <w:rPr>
          <w:rStyle w:val="14"/>
          <w:rFonts w:hint="eastAsia" w:ascii="仿宋" w:hAnsi="仿宋" w:eastAsia="仿宋" w:cstheme="minorBidi"/>
          <w:b w:val="0"/>
          <w:bCs/>
          <w:color w:val="000000"/>
          <w:sz w:val="32"/>
          <w:szCs w:val="32"/>
        </w:rPr>
        <w:t>签到</w:t>
      </w:r>
      <w:r>
        <w:rPr>
          <w:rStyle w:val="14"/>
          <w:rFonts w:ascii="仿宋" w:hAnsi="仿宋" w:eastAsia="仿宋" w:cstheme="minorBidi"/>
          <w:b w:val="0"/>
          <w:bCs/>
          <w:color w:val="000000"/>
          <w:sz w:val="32"/>
          <w:szCs w:val="32"/>
        </w:rPr>
        <w:t>”</w:t>
      </w:r>
      <w:r>
        <w:rPr>
          <w:rStyle w:val="14"/>
          <w:rFonts w:hint="eastAsia" w:ascii="仿宋" w:hAnsi="仿宋" w:eastAsia="仿宋" w:cstheme="minorBidi"/>
          <w:b w:val="0"/>
          <w:bCs/>
          <w:color w:val="000000"/>
          <w:sz w:val="32"/>
          <w:szCs w:val="32"/>
        </w:rPr>
        <w:t>式学习。团四川省委高度重视，全面推进“青年大学习”网上主题团课工作，强化思想政治引领，强化青年理论武装，营造起全省青年大学习比、学、赶、超的良好氛围。截止目前，已进行了十一季2期的拍摄，学习总人数余超600万人，实现每周常态化超过280万团员青年参与打卡学习，起到了很好的学习宣传效果。下半年十二季还会有2期的拍摄。</w:t>
      </w:r>
    </w:p>
    <w:p>
      <w:pPr>
        <w:adjustRightInd w:val="0"/>
        <w:snapToGrid w:val="0"/>
        <w:spacing w:line="600" w:lineRule="exact"/>
        <w:ind w:firstLine="720"/>
        <w:rPr>
          <w:rFonts w:ascii="黑体" w:hAnsi="宋体" w:eastAsia="黑体"/>
          <w:color w:val="000000" w:themeColor="text1"/>
          <w:sz w:val="32"/>
          <w:szCs w:val="32"/>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四、问题及建议</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（一）存在的问题。</w:t>
      </w:r>
    </w:p>
    <w:p>
      <w:pPr>
        <w:adjustRightInd w:val="0"/>
        <w:snapToGrid w:val="0"/>
        <w:spacing w:line="600" w:lineRule="exact"/>
        <w:ind w:firstLine="72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因单位新成立，项目资金管理制度不够完善。</w:t>
      </w:r>
    </w:p>
    <w:p>
      <w:pPr>
        <w:numPr>
          <w:ilvl w:val="0"/>
          <w:numId w:val="4"/>
        </w:num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相关建议。</w:t>
      </w:r>
    </w:p>
    <w:p>
      <w:pPr>
        <w:adjustRightInd w:val="0"/>
        <w:snapToGrid w:val="0"/>
        <w:spacing w:line="600" w:lineRule="exact"/>
        <w:ind w:firstLine="720"/>
        <w:rPr>
          <w:rStyle w:val="14"/>
          <w:rFonts w:ascii="仿宋" w:hAnsi="仿宋" w:eastAsia="仿宋" w:cstheme="minorBidi"/>
          <w:b w:val="0"/>
          <w:bCs/>
          <w:color w:val="000000"/>
          <w:sz w:val="32"/>
          <w:szCs w:val="32"/>
        </w:rPr>
      </w:pPr>
      <w:r>
        <w:rPr>
          <w:rStyle w:val="14"/>
          <w:rFonts w:hint="eastAsia" w:ascii="仿宋" w:hAnsi="仿宋" w:eastAsia="仿宋" w:cstheme="minorBidi"/>
          <w:b w:val="0"/>
          <w:bCs/>
          <w:color w:val="000000"/>
          <w:sz w:val="32"/>
          <w:szCs w:val="32"/>
        </w:rPr>
        <w:t>采取切实措施逐步建立、完善各项目项目资金管理制度。</w:t>
      </w:r>
    </w:p>
    <w:p>
      <w:pPr>
        <w:widowControl/>
        <w:jc w:val="left"/>
        <w:rPr>
          <w:rStyle w:val="14"/>
          <w:rFonts w:ascii="仿宋" w:hAnsi="仿宋" w:eastAsia="仿宋" w:cstheme="minorBidi"/>
          <w:b w:val="0"/>
          <w:bCs/>
          <w:color w:val="000000"/>
          <w:sz w:val="32"/>
          <w:szCs w:val="32"/>
        </w:rPr>
      </w:pPr>
      <w:bookmarkStart w:id="53" w:name="_Toc15396618"/>
      <w:r>
        <w:rPr>
          <w:rStyle w:val="14"/>
          <w:rFonts w:ascii="仿宋" w:hAnsi="仿宋" w:eastAsia="仿宋" w:cstheme="minorBidi"/>
          <w:b w:val="0"/>
          <w:bCs/>
          <w:color w:val="000000"/>
          <w:sz w:val="32"/>
          <w:szCs w:val="32"/>
        </w:rPr>
        <w:br w:type="page"/>
      </w:r>
    </w:p>
    <w:p>
      <w:pPr>
        <w:spacing w:line="600" w:lineRule="exact"/>
        <w:jc w:val="center"/>
        <w:outlineLvl w:val="0"/>
        <w:rPr>
          <w:rFonts w:ascii="仿宋" w:hAnsi="仿宋" w:eastAsia="仿宋"/>
          <w:color w:val="000000"/>
        </w:rPr>
      </w:pPr>
      <w:r>
        <w:rPr>
          <w:rFonts w:hint="eastAsia" w:ascii="黑体" w:hAnsi="黑体" w:eastAsia="黑体"/>
          <w:color w:val="000000"/>
          <w:sz w:val="44"/>
          <w:szCs w:val="44"/>
        </w:rPr>
        <w:t>第</w:t>
      </w:r>
      <w:r>
        <w:rPr>
          <w:rStyle w:val="24"/>
          <w:rFonts w:hint="eastAsia" w:ascii="黑体" w:hAnsi="黑体" w:eastAsia="黑体"/>
          <w:b w:val="0"/>
        </w:rPr>
        <w:t>五部分 附表</w:t>
      </w:r>
      <w:bookmarkEnd w:id="51"/>
      <w:bookmarkEnd w:id="53"/>
      <w:bookmarkStart w:id="54" w:name="_Toc15396619"/>
    </w:p>
    <w:p>
      <w:pPr>
        <w:pStyle w:val="4"/>
        <w:rPr>
          <w:rStyle w:val="14"/>
          <w:rFonts w:ascii="仿宋" w:hAnsi="仿宋" w:eastAsia="仿宋" w:cstheme="minorBidi"/>
          <w:b w:val="0"/>
          <w:color w:val="000000"/>
        </w:rPr>
      </w:pPr>
      <w:r>
        <w:rPr>
          <w:rFonts w:hint="eastAsia" w:ascii="仿宋" w:hAnsi="仿宋" w:eastAsia="仿宋"/>
          <w:b w:val="0"/>
          <w:color w:val="000000"/>
        </w:rPr>
        <w:t>一、</w:t>
      </w:r>
      <w:r>
        <w:rPr>
          <w:rStyle w:val="14"/>
          <w:rFonts w:hint="eastAsia" w:ascii="仿宋" w:hAnsi="仿宋" w:eastAsia="仿宋" w:cstheme="minorBidi"/>
          <w:b w:val="0"/>
          <w:color w:val="000000"/>
        </w:rPr>
        <w:t>收入支出决算总表</w:t>
      </w:r>
      <w:bookmarkEnd w:id="54"/>
    </w:p>
    <w:p>
      <w:pPr>
        <w:pStyle w:val="4"/>
        <w:rPr>
          <w:rStyle w:val="14"/>
          <w:rFonts w:ascii="仿宋" w:hAnsi="仿宋" w:eastAsia="仿宋" w:cstheme="minorBidi"/>
          <w:b w:val="0"/>
          <w:color w:val="000000"/>
        </w:rPr>
      </w:pPr>
      <w:bookmarkStart w:id="55" w:name="_Toc15396620"/>
      <w:r>
        <w:rPr>
          <w:rStyle w:val="14"/>
          <w:rFonts w:hint="eastAsia" w:ascii="仿宋" w:hAnsi="仿宋" w:eastAsia="仿宋" w:cstheme="minorBidi"/>
          <w:b w:val="0"/>
          <w:color w:val="000000"/>
        </w:rPr>
        <w:t>二、收入决算表</w:t>
      </w:r>
      <w:bookmarkEnd w:id="55"/>
    </w:p>
    <w:p>
      <w:pPr>
        <w:pStyle w:val="4"/>
        <w:rPr>
          <w:rStyle w:val="14"/>
          <w:rFonts w:ascii="仿宋" w:hAnsi="仿宋" w:eastAsia="仿宋" w:cstheme="minorBidi"/>
          <w:b w:val="0"/>
          <w:color w:val="000000"/>
        </w:rPr>
      </w:pPr>
      <w:bookmarkStart w:id="56" w:name="_Toc15396621"/>
      <w:r>
        <w:rPr>
          <w:rStyle w:val="14"/>
          <w:rFonts w:hint="eastAsia" w:ascii="仿宋" w:hAnsi="仿宋" w:eastAsia="仿宋" w:cstheme="minorBidi"/>
          <w:b w:val="0"/>
          <w:color w:val="000000"/>
        </w:rPr>
        <w:t>三、支出决算表</w:t>
      </w:r>
      <w:bookmarkEnd w:id="56"/>
    </w:p>
    <w:p>
      <w:pPr>
        <w:pStyle w:val="4"/>
        <w:rPr>
          <w:rStyle w:val="14"/>
          <w:rFonts w:ascii="仿宋" w:hAnsi="仿宋" w:eastAsia="仿宋" w:cstheme="minorBidi"/>
          <w:b w:val="0"/>
          <w:color w:val="000000"/>
        </w:rPr>
      </w:pPr>
      <w:bookmarkStart w:id="57" w:name="_Toc15396622"/>
      <w:r>
        <w:rPr>
          <w:rStyle w:val="14"/>
          <w:rFonts w:hint="eastAsia" w:ascii="仿宋" w:hAnsi="仿宋" w:eastAsia="仿宋" w:cstheme="minorBidi"/>
          <w:b w:val="0"/>
          <w:color w:val="000000"/>
        </w:rPr>
        <w:t>四、财政拨款收入支出决算总表</w:t>
      </w:r>
      <w:bookmarkEnd w:id="57"/>
    </w:p>
    <w:p>
      <w:pPr>
        <w:pStyle w:val="4"/>
        <w:rPr>
          <w:rStyle w:val="14"/>
          <w:rFonts w:ascii="仿宋" w:hAnsi="仿宋" w:eastAsia="仿宋" w:cstheme="minorBidi"/>
          <w:b w:val="0"/>
          <w:color w:val="000000"/>
        </w:rPr>
      </w:pPr>
      <w:bookmarkStart w:id="58" w:name="_Toc15396623"/>
      <w:r>
        <w:rPr>
          <w:rStyle w:val="14"/>
          <w:rFonts w:hint="eastAsia" w:ascii="仿宋" w:hAnsi="仿宋" w:eastAsia="仿宋" w:cstheme="minorBidi"/>
          <w:b w:val="0"/>
          <w:color w:val="000000"/>
        </w:rPr>
        <w:t>五、财政拨款支出决算明细表</w:t>
      </w:r>
      <w:bookmarkEnd w:id="58"/>
      <w:bookmarkStart w:id="59" w:name="_Toc15396624"/>
    </w:p>
    <w:p>
      <w:pPr>
        <w:pStyle w:val="4"/>
        <w:rPr>
          <w:rStyle w:val="14"/>
          <w:rFonts w:ascii="仿宋" w:hAnsi="仿宋" w:eastAsia="仿宋" w:cstheme="minorBidi"/>
          <w:b w:val="0"/>
          <w:color w:val="000000"/>
        </w:rPr>
      </w:pPr>
      <w:r>
        <w:rPr>
          <w:rStyle w:val="14"/>
          <w:rFonts w:hint="eastAsia" w:ascii="仿宋" w:hAnsi="仿宋" w:eastAsia="仿宋" w:cstheme="minorBidi"/>
          <w:b w:val="0"/>
          <w:color w:val="000000"/>
        </w:rPr>
        <w:t>六、一般公共预算财政拨款支出决算表</w:t>
      </w:r>
      <w:bookmarkEnd w:id="59"/>
    </w:p>
    <w:p>
      <w:pPr>
        <w:pStyle w:val="4"/>
        <w:rPr>
          <w:rStyle w:val="14"/>
          <w:rFonts w:ascii="仿宋" w:hAnsi="仿宋" w:eastAsia="仿宋" w:cstheme="minorBidi"/>
          <w:b w:val="0"/>
          <w:color w:val="000000"/>
        </w:rPr>
      </w:pPr>
      <w:bookmarkStart w:id="60" w:name="_Toc15396625"/>
      <w:r>
        <w:rPr>
          <w:rStyle w:val="14"/>
          <w:rFonts w:hint="eastAsia" w:ascii="仿宋" w:hAnsi="仿宋" w:eastAsia="仿宋" w:cstheme="minorBidi"/>
          <w:b w:val="0"/>
          <w:color w:val="000000"/>
        </w:rPr>
        <w:t>七、一般公共预算财政拨款支出决算明细表</w:t>
      </w:r>
      <w:bookmarkEnd w:id="60"/>
    </w:p>
    <w:p>
      <w:pPr>
        <w:pStyle w:val="4"/>
        <w:rPr>
          <w:rStyle w:val="14"/>
          <w:rFonts w:ascii="仿宋" w:hAnsi="仿宋" w:eastAsia="仿宋" w:cstheme="minorBidi"/>
          <w:b w:val="0"/>
          <w:color w:val="000000"/>
        </w:rPr>
      </w:pPr>
      <w:bookmarkStart w:id="61" w:name="_Toc15396626"/>
      <w:r>
        <w:rPr>
          <w:rStyle w:val="14"/>
          <w:rFonts w:hint="eastAsia" w:ascii="仿宋" w:hAnsi="仿宋" w:eastAsia="仿宋" w:cstheme="minorBidi"/>
          <w:b w:val="0"/>
          <w:color w:val="000000"/>
        </w:rPr>
        <w:t>八、一般公共预算财政拨款基本支出决算表</w:t>
      </w:r>
      <w:bookmarkEnd w:id="61"/>
    </w:p>
    <w:p>
      <w:pPr>
        <w:pStyle w:val="4"/>
        <w:rPr>
          <w:rStyle w:val="14"/>
          <w:rFonts w:ascii="仿宋" w:hAnsi="仿宋" w:eastAsia="仿宋" w:cstheme="minorBidi"/>
          <w:b w:val="0"/>
          <w:color w:val="000000"/>
        </w:rPr>
      </w:pPr>
      <w:bookmarkStart w:id="62" w:name="_Toc15396627"/>
      <w:r>
        <w:rPr>
          <w:rStyle w:val="14"/>
          <w:rFonts w:hint="eastAsia" w:ascii="仿宋" w:hAnsi="仿宋" w:eastAsia="仿宋" w:cstheme="minorBidi"/>
          <w:b w:val="0"/>
          <w:color w:val="000000"/>
        </w:rPr>
        <w:t>九、一般公共预算财政拨款项目支出决算表</w:t>
      </w:r>
      <w:bookmarkEnd w:id="62"/>
    </w:p>
    <w:p>
      <w:pPr>
        <w:pStyle w:val="4"/>
        <w:rPr>
          <w:rStyle w:val="14"/>
          <w:rFonts w:ascii="仿宋" w:hAnsi="仿宋" w:eastAsia="仿宋" w:cstheme="minorBidi"/>
          <w:b w:val="0"/>
          <w:color w:val="000000"/>
        </w:rPr>
      </w:pPr>
      <w:bookmarkStart w:id="63" w:name="_Toc15396628"/>
      <w:r>
        <w:rPr>
          <w:rStyle w:val="14"/>
          <w:rFonts w:hint="eastAsia" w:ascii="仿宋" w:hAnsi="仿宋" w:eastAsia="仿宋" w:cstheme="minorBidi"/>
          <w:b w:val="0"/>
          <w:color w:val="000000"/>
        </w:rPr>
        <w:t>十、一般公共预算财政拨款“三公”经费支出决算表</w:t>
      </w:r>
      <w:bookmarkEnd w:id="63"/>
    </w:p>
    <w:p>
      <w:pPr>
        <w:pStyle w:val="4"/>
        <w:rPr>
          <w:rStyle w:val="14"/>
          <w:rFonts w:ascii="仿宋" w:hAnsi="仿宋" w:eastAsia="仿宋" w:cstheme="minorBidi"/>
          <w:b w:val="0"/>
          <w:color w:val="000000"/>
        </w:rPr>
      </w:pPr>
      <w:bookmarkStart w:id="64" w:name="_Toc15396629"/>
      <w:r>
        <w:rPr>
          <w:rStyle w:val="14"/>
          <w:rFonts w:hint="eastAsia" w:ascii="仿宋" w:hAnsi="仿宋" w:eastAsia="仿宋" w:cstheme="minorBidi"/>
          <w:b w:val="0"/>
          <w:color w:val="000000"/>
        </w:rPr>
        <w:t>十一、政府性基金预算财政拨款收入支出决算表</w:t>
      </w:r>
      <w:bookmarkEnd w:id="64"/>
    </w:p>
    <w:p>
      <w:pPr>
        <w:pStyle w:val="4"/>
        <w:rPr>
          <w:rStyle w:val="14"/>
          <w:rFonts w:ascii="仿宋" w:hAnsi="仿宋" w:eastAsia="仿宋" w:cstheme="minorBidi"/>
          <w:b w:val="0"/>
          <w:color w:val="000000"/>
        </w:rPr>
      </w:pPr>
      <w:bookmarkStart w:id="65" w:name="_Toc15396630"/>
      <w:r>
        <w:rPr>
          <w:rStyle w:val="14"/>
          <w:rFonts w:hint="eastAsia" w:ascii="仿宋" w:hAnsi="仿宋" w:eastAsia="仿宋" w:cstheme="minorBidi"/>
          <w:b w:val="0"/>
          <w:color w:val="000000"/>
        </w:rPr>
        <w:t>十二、政府性基金预算财政拨款“三公”经费支出决算表</w:t>
      </w:r>
      <w:bookmarkEnd w:id="65"/>
    </w:p>
    <w:p>
      <w:pPr>
        <w:pStyle w:val="4"/>
        <w:rPr>
          <w:rStyle w:val="14"/>
          <w:rFonts w:ascii="仿宋" w:hAnsi="仿宋" w:eastAsia="仿宋" w:cstheme="minorBidi"/>
          <w:b w:val="0"/>
          <w:color w:val="000000"/>
        </w:rPr>
      </w:pPr>
      <w:bookmarkStart w:id="66" w:name="_Toc15396631"/>
      <w:r>
        <w:rPr>
          <w:rStyle w:val="14"/>
          <w:rFonts w:hint="eastAsia" w:ascii="仿宋" w:hAnsi="仿宋" w:eastAsia="仿宋" w:cstheme="minorBidi"/>
          <w:b w:val="0"/>
          <w:color w:val="000000"/>
        </w:rPr>
        <w:t>十三、国有资本经营预算财政拨款收入支出决算表</w:t>
      </w:r>
      <w:bookmarkEnd w:id="66"/>
    </w:p>
    <w:p>
      <w:pPr>
        <w:pStyle w:val="4"/>
        <w:rPr>
          <w:rStyle w:val="14"/>
          <w:rFonts w:ascii="仿宋" w:hAnsi="仿宋" w:eastAsia="仿宋" w:cstheme="minorBidi"/>
          <w:b w:val="0"/>
          <w:color w:val="000000"/>
        </w:rPr>
      </w:pPr>
      <w:r>
        <w:rPr>
          <w:rStyle w:val="14"/>
          <w:rFonts w:hint="eastAsia" w:ascii="仿宋" w:hAnsi="仿宋" w:eastAsia="仿宋" w:cstheme="minorBidi"/>
          <w:b w:val="0"/>
          <w:color w:val="000000"/>
        </w:rPr>
        <w:t>十四、国有资本经营预算财政拨款支出决算表</w:t>
      </w:r>
    </w:p>
    <w:sectPr>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Noto Sans CJK SC"/>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3</w:t>
        </w:r>
        <w:r>
          <w:rPr>
            <w:rFonts w:ascii="Times New Roman" w:hAnsi="Times New Roman"/>
            <w:sz w:val="24"/>
            <w:szCs w:val="24"/>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25EAEC40"/>
    <w:multiLevelType w:val="singleLevel"/>
    <w:tmpl w:val="25EAEC40"/>
    <w:lvl w:ilvl="0" w:tentative="0">
      <w:start w:val="3"/>
      <w:numFmt w:val="chineseCounting"/>
      <w:suff w:val="nothing"/>
      <w:lvlText w:val="%1、"/>
      <w:lvlJc w:val="left"/>
      <w:rPr>
        <w:rFonts w:hint="eastAsia"/>
      </w:rPr>
    </w:lvl>
  </w:abstractNum>
  <w:abstractNum w:abstractNumId="3">
    <w:nsid w:val="5C56BDF3"/>
    <w:multiLevelType w:val="singleLevel"/>
    <w:tmpl w:val="5C56BDF3"/>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30829"/>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C406F"/>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109C"/>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50E55"/>
    <w:rsid w:val="00F602DF"/>
    <w:rsid w:val="00F754A1"/>
    <w:rsid w:val="00F81FD9"/>
    <w:rsid w:val="00F841AA"/>
    <w:rsid w:val="00F84A94"/>
    <w:rsid w:val="00F87E96"/>
    <w:rsid w:val="00FA23E8"/>
    <w:rsid w:val="00FD3CC1"/>
    <w:rsid w:val="00FF1E02"/>
    <w:rsid w:val="00FF30B4"/>
    <w:rsid w:val="01B722BD"/>
    <w:rsid w:val="029F2295"/>
    <w:rsid w:val="03C46FB0"/>
    <w:rsid w:val="04FA1E57"/>
    <w:rsid w:val="04FC592F"/>
    <w:rsid w:val="07E420AE"/>
    <w:rsid w:val="08B36671"/>
    <w:rsid w:val="08E94B89"/>
    <w:rsid w:val="08F61BF6"/>
    <w:rsid w:val="0A2032A3"/>
    <w:rsid w:val="10C055FF"/>
    <w:rsid w:val="118107EC"/>
    <w:rsid w:val="12931308"/>
    <w:rsid w:val="16BB723D"/>
    <w:rsid w:val="1767333C"/>
    <w:rsid w:val="18015F3F"/>
    <w:rsid w:val="1A103F26"/>
    <w:rsid w:val="1A2827D9"/>
    <w:rsid w:val="1B46054B"/>
    <w:rsid w:val="1B7B503C"/>
    <w:rsid w:val="1BE31B93"/>
    <w:rsid w:val="1BE8440E"/>
    <w:rsid w:val="1CCE2F5A"/>
    <w:rsid w:val="1D155CEE"/>
    <w:rsid w:val="1D893E5C"/>
    <w:rsid w:val="1E5C6535"/>
    <w:rsid w:val="1F3D55F4"/>
    <w:rsid w:val="1FF209E6"/>
    <w:rsid w:val="200A5F48"/>
    <w:rsid w:val="20704E38"/>
    <w:rsid w:val="20E3587F"/>
    <w:rsid w:val="20F57F95"/>
    <w:rsid w:val="21D76044"/>
    <w:rsid w:val="226A4E35"/>
    <w:rsid w:val="240371BF"/>
    <w:rsid w:val="26337DCC"/>
    <w:rsid w:val="2672351B"/>
    <w:rsid w:val="280C5463"/>
    <w:rsid w:val="281F310D"/>
    <w:rsid w:val="286A776E"/>
    <w:rsid w:val="28973019"/>
    <w:rsid w:val="294028B0"/>
    <w:rsid w:val="294F26B8"/>
    <w:rsid w:val="29FD04D3"/>
    <w:rsid w:val="2A98788D"/>
    <w:rsid w:val="2ABE7A3E"/>
    <w:rsid w:val="2EC0288B"/>
    <w:rsid w:val="311B1683"/>
    <w:rsid w:val="319F7F4E"/>
    <w:rsid w:val="33732F38"/>
    <w:rsid w:val="34703F4C"/>
    <w:rsid w:val="351749B7"/>
    <w:rsid w:val="35A327BF"/>
    <w:rsid w:val="364251FA"/>
    <w:rsid w:val="39633C16"/>
    <w:rsid w:val="3ACD5BB8"/>
    <w:rsid w:val="3C0C0783"/>
    <w:rsid w:val="3F156E88"/>
    <w:rsid w:val="3F9C3BAC"/>
    <w:rsid w:val="403312A1"/>
    <w:rsid w:val="41E235E3"/>
    <w:rsid w:val="46AC098C"/>
    <w:rsid w:val="48AB4DCB"/>
    <w:rsid w:val="496F39ED"/>
    <w:rsid w:val="4A887398"/>
    <w:rsid w:val="4BE068DB"/>
    <w:rsid w:val="4BF6002B"/>
    <w:rsid w:val="4ECE2238"/>
    <w:rsid w:val="533A21E4"/>
    <w:rsid w:val="54065806"/>
    <w:rsid w:val="54185F83"/>
    <w:rsid w:val="55C43961"/>
    <w:rsid w:val="573D433B"/>
    <w:rsid w:val="58464421"/>
    <w:rsid w:val="585728F1"/>
    <w:rsid w:val="59E03767"/>
    <w:rsid w:val="5AA424DF"/>
    <w:rsid w:val="5AB618FC"/>
    <w:rsid w:val="5BEA5F56"/>
    <w:rsid w:val="5C3A29BA"/>
    <w:rsid w:val="5C3D30E9"/>
    <w:rsid w:val="5CB3156A"/>
    <w:rsid w:val="63C032EA"/>
    <w:rsid w:val="64CA39A1"/>
    <w:rsid w:val="653278EE"/>
    <w:rsid w:val="65747870"/>
    <w:rsid w:val="66221EA9"/>
    <w:rsid w:val="696942DF"/>
    <w:rsid w:val="696B662F"/>
    <w:rsid w:val="69FF3852"/>
    <w:rsid w:val="6A024EE6"/>
    <w:rsid w:val="6ACE154A"/>
    <w:rsid w:val="6B6F1D77"/>
    <w:rsid w:val="6BF9A9FF"/>
    <w:rsid w:val="6C34329A"/>
    <w:rsid w:val="6C4A05C8"/>
    <w:rsid w:val="6CE1307C"/>
    <w:rsid w:val="6DFBC824"/>
    <w:rsid w:val="72734D90"/>
    <w:rsid w:val="727F4582"/>
    <w:rsid w:val="74AA5AB4"/>
    <w:rsid w:val="74E619D9"/>
    <w:rsid w:val="78DE2773"/>
    <w:rsid w:val="79296741"/>
    <w:rsid w:val="79CA1952"/>
    <w:rsid w:val="79FF2F70"/>
    <w:rsid w:val="7A9403A0"/>
    <w:rsid w:val="7BCB6A81"/>
    <w:rsid w:val="7CD45FF4"/>
    <w:rsid w:val="7F794CE0"/>
    <w:rsid w:val="7FCC012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18</Pages>
  <Words>880</Words>
  <Characters>5022</Characters>
  <Lines>41</Lines>
  <Paragraphs>11</Paragraphs>
  <TotalTime>0</TotalTime>
  <ScaleCrop>false</ScaleCrop>
  <LinksUpToDate>false</LinksUpToDate>
  <CharactersWithSpaces>5891</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2020-08-04T17:49:00Z</dcterms:created>
  <dc:creator>曹颖</dc:creator>
  <cp:lastModifiedBy>user</cp:lastModifiedBy>
  <cp:lastPrinted>2021-09-06T19:40:00Z</cp:lastPrinted>
  <dcterms:modified xsi:type="dcterms:W3CDTF">2022-11-14T10:12:04Z</dcterms:modified>
  <dc:title>四川省***</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C7D8F3C674544AD68D4DCEC45D669C49</vt:lpwstr>
  </property>
</Properties>
</file>